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C14A1" w:rsidRDefault="00000000">
      <w:pPr>
        <w:ind w:left="1" w:hanging="3"/>
        <w:rPr>
          <w:rFonts w:ascii="Times" w:eastAsia="Times" w:hAnsi="Times" w:cs="Times"/>
        </w:rPr>
      </w:pPr>
      <w:r>
        <w:rPr>
          <w:rFonts w:ascii="Arial" w:eastAsia="Arial" w:hAnsi="Arial" w:cs="Arial"/>
          <w:b/>
          <w:sz w:val="28"/>
          <w:szCs w:val="28"/>
        </w:rPr>
        <w:t>October 2024</w:t>
      </w:r>
      <w:r>
        <w:rPr>
          <w:rFonts w:ascii="Times" w:eastAsia="Times" w:hAnsi="Times" w:cs="Times"/>
        </w:rPr>
        <w:t xml:space="preserve"> </w:t>
      </w:r>
    </w:p>
    <w:p w14:paraId="00000002" w14:textId="77777777" w:rsidR="00FC14A1" w:rsidRDefault="00FC14A1">
      <w:pPr>
        <w:ind w:left="1" w:hanging="3"/>
        <w:rPr>
          <w:rFonts w:ascii="Arial" w:eastAsia="Arial" w:hAnsi="Arial" w:cs="Arial"/>
          <w:sz w:val="32"/>
          <w:szCs w:val="32"/>
        </w:rPr>
      </w:pPr>
    </w:p>
    <w:p w14:paraId="00000003" w14:textId="77777777" w:rsidR="00FC14A1" w:rsidRDefault="00000000">
      <w:pPr>
        <w:ind w:left="1" w:hanging="3"/>
        <w:rPr>
          <w:rFonts w:ascii="Arial" w:eastAsia="Arial" w:hAnsi="Arial" w:cs="Arial"/>
          <w:sz w:val="32"/>
          <w:szCs w:val="32"/>
        </w:rPr>
      </w:pPr>
      <w:r>
        <w:rPr>
          <w:rFonts w:ascii="Arial" w:eastAsia="Arial" w:hAnsi="Arial" w:cs="Arial"/>
          <w:b/>
          <w:sz w:val="32"/>
          <w:szCs w:val="32"/>
        </w:rPr>
        <w:t>PHD PROGRAM IN NEUROSCIENCE</w:t>
      </w:r>
    </w:p>
    <w:p w14:paraId="00000004" w14:textId="77777777" w:rsidR="00FC14A1" w:rsidRDefault="00000000">
      <w:pPr>
        <w:ind w:left="1" w:hanging="3"/>
        <w:rPr>
          <w:rFonts w:ascii="Arial" w:eastAsia="Arial" w:hAnsi="Arial" w:cs="Arial"/>
          <w:sz w:val="32"/>
          <w:szCs w:val="32"/>
        </w:rPr>
      </w:pPr>
      <w:r>
        <w:rPr>
          <w:rFonts w:ascii="Arial" w:eastAsia="Arial" w:hAnsi="Arial" w:cs="Arial"/>
          <w:b/>
          <w:sz w:val="32"/>
          <w:szCs w:val="32"/>
        </w:rPr>
        <w:t>STONY BROOK UNIVERSITY</w:t>
      </w:r>
    </w:p>
    <w:p w14:paraId="00000005" w14:textId="77777777" w:rsidR="00FC14A1" w:rsidRDefault="00FC14A1">
      <w:pPr>
        <w:ind w:left="0" w:hanging="2"/>
        <w:rPr>
          <w:rFonts w:ascii="Arial" w:eastAsia="Arial" w:hAnsi="Arial" w:cs="Arial"/>
        </w:rPr>
      </w:pPr>
    </w:p>
    <w:p w14:paraId="00000006" w14:textId="77777777" w:rsidR="00FC14A1" w:rsidRDefault="00000000">
      <w:pPr>
        <w:ind w:left="0" w:hanging="2"/>
        <w:rPr>
          <w:rFonts w:ascii="Arial" w:eastAsia="Arial" w:hAnsi="Arial" w:cs="Arial"/>
          <w:b/>
        </w:rPr>
      </w:pPr>
      <w:r>
        <w:rPr>
          <w:rFonts w:ascii="Arial" w:eastAsia="Arial" w:hAnsi="Arial" w:cs="Arial"/>
          <w:b/>
        </w:rPr>
        <w:t>GUIDELINES, RULES, AND REGULATIONS</w:t>
      </w:r>
    </w:p>
    <w:p w14:paraId="00000007" w14:textId="46677EF1" w:rsidR="00FC14A1" w:rsidRDefault="00000000">
      <w:pPr>
        <w:ind w:left="0" w:hanging="2"/>
        <w:rPr>
          <w:rFonts w:ascii="Arial" w:eastAsia="Arial" w:hAnsi="Arial" w:cs="Arial"/>
          <w:b/>
        </w:rPr>
      </w:pPr>
      <w:r>
        <w:rPr>
          <w:rFonts w:ascii="Arial" w:eastAsia="Arial" w:hAnsi="Arial" w:cs="Arial"/>
          <w:b/>
        </w:rPr>
        <w:t xml:space="preserve">The Program in Neuroscience is subject to all the policies and regulations of the </w:t>
      </w:r>
      <w:hyperlink r:id="rId6" w:history="1">
        <w:r w:rsidRPr="0014051E">
          <w:rPr>
            <w:rStyle w:val="Hyperlink"/>
            <w:rFonts w:ascii="Arial" w:eastAsia="Arial" w:hAnsi="Arial" w:cs="Arial"/>
            <w:b/>
          </w:rPr>
          <w:t>Graduate School</w:t>
        </w:r>
      </w:hyperlink>
      <w:r>
        <w:rPr>
          <w:rFonts w:ascii="Arial" w:eastAsia="Arial" w:hAnsi="Arial" w:cs="Arial"/>
          <w:b/>
        </w:rPr>
        <w:t xml:space="preserve">. The current regulations and policies can be found in the </w:t>
      </w:r>
      <w:hyperlink r:id="rId7" w:history="1">
        <w:r w:rsidRPr="0014051E">
          <w:rPr>
            <w:rStyle w:val="Hyperlink"/>
            <w:rFonts w:ascii="Arial" w:eastAsia="Arial" w:hAnsi="Arial" w:cs="Arial"/>
            <w:b/>
          </w:rPr>
          <w:t>Graduate Bulletin</w:t>
        </w:r>
      </w:hyperlink>
      <w:r>
        <w:rPr>
          <w:rFonts w:ascii="Arial" w:eastAsia="Arial" w:hAnsi="Arial" w:cs="Arial"/>
          <w:b/>
        </w:rPr>
        <w:t>.</w:t>
      </w:r>
    </w:p>
    <w:p w14:paraId="00000009" w14:textId="77777777" w:rsidR="00FC14A1" w:rsidRDefault="00FC14A1">
      <w:pPr>
        <w:ind w:left="0" w:hanging="2"/>
        <w:rPr>
          <w:rFonts w:ascii="Arial" w:eastAsia="Arial" w:hAnsi="Arial" w:cs="Arial"/>
          <w:sz w:val="22"/>
          <w:szCs w:val="22"/>
        </w:rPr>
      </w:pPr>
    </w:p>
    <w:p w14:paraId="0000000A" w14:textId="4032B354" w:rsidR="00FC14A1" w:rsidRDefault="00000000">
      <w:pPr>
        <w:numPr>
          <w:ilvl w:val="0"/>
          <w:numId w:val="2"/>
        </w:numPr>
        <w:ind w:left="0" w:hanging="2"/>
        <w:rPr>
          <w:rFonts w:ascii="Arial" w:eastAsia="Arial" w:hAnsi="Arial" w:cs="Arial"/>
          <w:b/>
          <w:sz w:val="22"/>
          <w:szCs w:val="22"/>
        </w:rPr>
      </w:pPr>
      <w:r>
        <w:rPr>
          <w:rFonts w:ascii="Arial" w:eastAsia="Arial" w:hAnsi="Arial" w:cs="Arial"/>
          <w:b/>
          <w:sz w:val="22"/>
          <w:szCs w:val="22"/>
        </w:rPr>
        <w:t>THE PROGRAM</w:t>
      </w:r>
      <w:r>
        <w:rPr>
          <w:rFonts w:ascii="Arial" w:eastAsia="Arial" w:hAnsi="Arial" w:cs="Arial"/>
          <w:sz w:val="22"/>
          <w:szCs w:val="22"/>
        </w:rPr>
        <w:t>. The primary objective of the PhD Program in Neuroscience is to prepare doctoral students for successful careers in the competitive worlds of neuroscience, neuroscience research and neuroscience teaching. The Program is committed to providing a training environment that has flexibility, depth, and quality to enable all students to attain the highest standards in achieving their individual career goals.</w:t>
      </w:r>
    </w:p>
    <w:p w14:paraId="0000000B" w14:textId="77777777" w:rsidR="00FC14A1" w:rsidRDefault="00FC14A1">
      <w:pPr>
        <w:ind w:left="0" w:hanging="2"/>
        <w:rPr>
          <w:rFonts w:ascii="Arial" w:eastAsia="Arial" w:hAnsi="Arial" w:cs="Arial"/>
          <w:sz w:val="22"/>
          <w:szCs w:val="22"/>
        </w:rPr>
      </w:pPr>
    </w:p>
    <w:p w14:paraId="0000000C"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Program is committed to abiding by the principles of Equity, Inclusion and Belonging. Diversity of backgrounds, ideas and experiences is essential for the advancement of the scientific enterprise. The Program fully embraces it in all aspects of our mission. We ensure access and equal opportunities to all students admitted into the program, create an environment that is inclusive of students and faculty </w:t>
      </w:r>
    </w:p>
    <w:p w14:paraId="0000000D" w14:textId="77777777" w:rsidR="00FC14A1" w:rsidRDefault="00FC14A1">
      <w:pPr>
        <w:ind w:left="0" w:hanging="2"/>
        <w:rPr>
          <w:rFonts w:ascii="Arial" w:eastAsia="Arial" w:hAnsi="Arial" w:cs="Arial"/>
          <w:sz w:val="22"/>
          <w:szCs w:val="22"/>
        </w:rPr>
      </w:pPr>
    </w:p>
    <w:p w14:paraId="0000000E" w14:textId="77777777" w:rsidR="00FC14A1" w:rsidRDefault="00000000">
      <w:pPr>
        <w:numPr>
          <w:ilvl w:val="0"/>
          <w:numId w:val="2"/>
        </w:numPr>
        <w:ind w:left="0" w:hanging="2"/>
        <w:rPr>
          <w:rFonts w:ascii="Arial" w:eastAsia="Arial" w:hAnsi="Arial" w:cs="Arial"/>
          <w:sz w:val="22"/>
          <w:szCs w:val="22"/>
        </w:rPr>
      </w:pPr>
      <w:r>
        <w:rPr>
          <w:rFonts w:ascii="Arial" w:eastAsia="Arial" w:hAnsi="Arial" w:cs="Arial"/>
          <w:b/>
          <w:sz w:val="22"/>
          <w:szCs w:val="22"/>
        </w:rPr>
        <w:t xml:space="preserve">LEADERSHIP STRUCTURE. </w:t>
      </w:r>
    </w:p>
    <w:p w14:paraId="0000000F"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THE GRADUATE COMMITTEE. </w:t>
      </w:r>
      <w:r>
        <w:rPr>
          <w:rFonts w:ascii="Arial" w:eastAsia="Arial" w:hAnsi="Arial" w:cs="Arial"/>
          <w:sz w:val="22"/>
          <w:szCs w:val="22"/>
        </w:rPr>
        <w:t xml:space="preserve">The Graduate Committee is charged with oversight of the admission of PhD candidates, administration of the program, and the annual evaluation of students.  </w:t>
      </w:r>
    </w:p>
    <w:p w14:paraId="00000010" w14:textId="77777777" w:rsidR="00FC14A1" w:rsidRDefault="00FC14A1">
      <w:pPr>
        <w:ind w:left="0" w:hanging="2"/>
        <w:rPr>
          <w:rFonts w:ascii="Arial" w:eastAsia="Arial" w:hAnsi="Arial" w:cs="Arial"/>
          <w:sz w:val="22"/>
          <w:szCs w:val="22"/>
        </w:rPr>
      </w:pPr>
    </w:p>
    <w:p w14:paraId="00000011" w14:textId="6F6EEA3D" w:rsidR="00FC14A1" w:rsidRDefault="00000000">
      <w:pPr>
        <w:ind w:left="0" w:hanging="2"/>
        <w:rPr>
          <w:rFonts w:ascii="Arial" w:eastAsia="Arial" w:hAnsi="Arial" w:cs="Arial"/>
          <w:b/>
          <w:sz w:val="22"/>
          <w:szCs w:val="22"/>
        </w:rPr>
      </w:pPr>
      <w:r>
        <w:rPr>
          <w:rFonts w:ascii="Arial" w:eastAsia="Arial" w:hAnsi="Arial" w:cs="Arial"/>
          <w:sz w:val="22"/>
          <w:szCs w:val="22"/>
          <w:u w:val="single"/>
        </w:rPr>
        <w:t>The Graduate Committee is chaired by the Graduate Program Director</w:t>
      </w:r>
      <w:r>
        <w:rPr>
          <w:rFonts w:ascii="Arial" w:eastAsia="Arial" w:hAnsi="Arial" w:cs="Arial"/>
          <w:sz w:val="22"/>
          <w:szCs w:val="22"/>
        </w:rPr>
        <w:t xml:space="preserve">, a faculty member of the Department of Neurobiology and Behavior (Stony Brook University) who is appointed to the position by the Department Chair for a </w:t>
      </w:r>
      <w:r w:rsidR="00E33A30">
        <w:rPr>
          <w:rFonts w:ascii="Arial" w:eastAsia="Arial" w:hAnsi="Arial" w:cs="Arial"/>
          <w:sz w:val="22"/>
          <w:szCs w:val="22"/>
        </w:rPr>
        <w:t>three-year</w:t>
      </w:r>
      <w:r>
        <w:rPr>
          <w:rFonts w:ascii="Arial" w:eastAsia="Arial" w:hAnsi="Arial" w:cs="Arial"/>
          <w:sz w:val="22"/>
          <w:szCs w:val="22"/>
        </w:rPr>
        <w:t xml:space="preserve"> term or terms. At least four additional members of the Graduate Committee are appointed to the Graduate Program Executive Committee by the Department Chair</w:t>
      </w:r>
      <w:r>
        <w:rPr>
          <w:rFonts w:ascii="Arial" w:eastAsia="Arial" w:hAnsi="Arial" w:cs="Arial"/>
          <w:b/>
          <w:sz w:val="22"/>
          <w:szCs w:val="22"/>
        </w:rPr>
        <w:t xml:space="preserve">; all must be faculty of Stony Brook University and members of the Program. All members of the Graduate Committee to a three year term or terms. The Executive Committee includes two student representatives elected by the graduate students who are appointed for a two year term. </w:t>
      </w:r>
    </w:p>
    <w:p w14:paraId="00000012" w14:textId="77777777" w:rsidR="00FC14A1" w:rsidRDefault="00FC14A1">
      <w:pPr>
        <w:ind w:left="0" w:hanging="2"/>
        <w:rPr>
          <w:rFonts w:ascii="Arial" w:eastAsia="Arial" w:hAnsi="Arial" w:cs="Arial"/>
          <w:b/>
          <w:sz w:val="22"/>
          <w:szCs w:val="22"/>
        </w:rPr>
      </w:pPr>
    </w:p>
    <w:p w14:paraId="00000013" w14:textId="77777777" w:rsidR="00FC14A1" w:rsidRDefault="00000000">
      <w:pPr>
        <w:ind w:left="0" w:hanging="2"/>
        <w:rPr>
          <w:rFonts w:ascii="Arial" w:eastAsia="Arial" w:hAnsi="Arial" w:cs="Arial"/>
          <w:sz w:val="22"/>
          <w:szCs w:val="22"/>
        </w:rPr>
      </w:pPr>
      <w:r>
        <w:rPr>
          <w:rFonts w:ascii="Arial" w:eastAsia="Arial" w:hAnsi="Arial" w:cs="Arial"/>
          <w:sz w:val="22"/>
          <w:szCs w:val="22"/>
          <w:u w:val="single"/>
        </w:rPr>
        <w:t xml:space="preserve">The Graduate Program Coordinator </w:t>
      </w:r>
      <w:r>
        <w:rPr>
          <w:rFonts w:ascii="Arial" w:eastAsia="Arial" w:hAnsi="Arial" w:cs="Arial"/>
          <w:sz w:val="22"/>
          <w:szCs w:val="22"/>
        </w:rPr>
        <w:t>works in coordination with the Graduate Program Director and Graduate Committee and provides support with all activities related to students’ recruitment, matriculation, onboarding and reappointment. The Graduate Program Coordinator also supports students in registering for classes, and helps organize the yearly Symposium in Neuroscience as well as assists with the organization of the yearly retreat of the Department of Neurobiology and Behavior.</w:t>
      </w:r>
    </w:p>
    <w:p w14:paraId="00000014" w14:textId="77777777" w:rsidR="00FC14A1" w:rsidRDefault="00FC14A1">
      <w:pPr>
        <w:ind w:left="0" w:hanging="2"/>
        <w:rPr>
          <w:rFonts w:ascii="Arial" w:eastAsia="Arial" w:hAnsi="Arial" w:cs="Arial"/>
          <w:sz w:val="22"/>
          <w:szCs w:val="22"/>
        </w:rPr>
      </w:pPr>
    </w:p>
    <w:p w14:paraId="00000015" w14:textId="77777777" w:rsidR="00FC14A1" w:rsidRDefault="00000000">
      <w:pPr>
        <w:ind w:left="0" w:hanging="2"/>
        <w:rPr>
          <w:rFonts w:ascii="Arial" w:eastAsia="Arial" w:hAnsi="Arial" w:cs="Arial"/>
          <w:sz w:val="22"/>
          <w:szCs w:val="22"/>
        </w:rPr>
      </w:pPr>
      <w:r>
        <w:rPr>
          <w:rFonts w:ascii="Arial" w:eastAsia="Arial" w:hAnsi="Arial" w:cs="Arial"/>
          <w:sz w:val="22"/>
          <w:szCs w:val="22"/>
          <w:u w:val="single"/>
        </w:rPr>
        <w:t>A Curriculum Committee</w:t>
      </w:r>
      <w:r>
        <w:rPr>
          <w:rFonts w:ascii="Arial" w:eastAsia="Arial" w:hAnsi="Arial" w:cs="Arial"/>
          <w:sz w:val="22"/>
          <w:szCs w:val="22"/>
        </w:rPr>
        <w:t xml:space="preserve"> is recruited on a bi-yearly basis to evaluate the curriculum and assess the need for updates or changes. In between Curriculum Committee meetings, a request for changes to the PhD Program can be recommended by on campus PhD </w:t>
      </w:r>
      <w:r>
        <w:rPr>
          <w:rFonts w:ascii="Arial" w:eastAsia="Arial" w:hAnsi="Arial" w:cs="Arial"/>
          <w:sz w:val="22"/>
          <w:szCs w:val="22"/>
        </w:rPr>
        <w:lastRenderedPageBreak/>
        <w:t xml:space="preserve">Program faculty or students. Recommendations can be made to the Graduate Committee or the Executive Committee, where discussions of and refinements to proposals will generally take place. Additional standing committees such as the Curriculum Committee (Department of Neurobiology and Behavior) may also be brought in at this stage of the process. </w:t>
      </w:r>
    </w:p>
    <w:p w14:paraId="00000016" w14:textId="77777777" w:rsidR="00FC14A1" w:rsidRDefault="00000000">
      <w:pPr>
        <w:ind w:left="0" w:hanging="2"/>
        <w:rPr>
          <w:rFonts w:ascii="Arial" w:eastAsia="Arial" w:hAnsi="Arial" w:cs="Arial"/>
          <w:sz w:val="22"/>
          <w:szCs w:val="22"/>
        </w:rPr>
      </w:pPr>
      <w:r>
        <w:rPr>
          <w:rFonts w:ascii="Arial" w:eastAsia="Arial" w:hAnsi="Arial" w:cs="Arial"/>
          <w:b/>
          <w:sz w:val="22"/>
          <w:szCs w:val="22"/>
        </w:rPr>
        <w:t>Formalized recommendations for change must be brought for discussion,</w:t>
      </w:r>
    </w:p>
    <w:p w14:paraId="00000017" w14:textId="77777777" w:rsidR="00FC14A1" w:rsidRDefault="00000000">
      <w:pPr>
        <w:ind w:left="0" w:hanging="2"/>
        <w:rPr>
          <w:rFonts w:ascii="Arial" w:eastAsia="Arial" w:hAnsi="Arial" w:cs="Arial"/>
          <w:sz w:val="22"/>
          <w:szCs w:val="22"/>
        </w:rPr>
      </w:pPr>
      <w:r>
        <w:rPr>
          <w:rFonts w:ascii="Arial" w:eastAsia="Arial" w:hAnsi="Arial" w:cs="Arial"/>
          <w:b/>
          <w:sz w:val="22"/>
          <w:szCs w:val="22"/>
        </w:rPr>
        <w:t>voted upon and approved by a simple majority of a quorum at a program meeting. At the discretion of the Graduate Committee or Executive Committee, discussion and voting may be carried out by email.</w:t>
      </w:r>
    </w:p>
    <w:p w14:paraId="00000018" w14:textId="77777777" w:rsidR="00FC14A1" w:rsidRDefault="00FC14A1">
      <w:pPr>
        <w:ind w:left="0" w:hanging="2"/>
        <w:rPr>
          <w:rFonts w:ascii="Arial" w:eastAsia="Arial" w:hAnsi="Arial" w:cs="Arial"/>
          <w:sz w:val="22"/>
          <w:szCs w:val="22"/>
        </w:rPr>
      </w:pPr>
    </w:p>
    <w:p w14:paraId="00000019" w14:textId="77777777" w:rsidR="00FC14A1" w:rsidRDefault="00000000">
      <w:pPr>
        <w:ind w:left="0" w:hanging="2"/>
        <w:rPr>
          <w:rFonts w:ascii="Arial" w:eastAsia="Arial" w:hAnsi="Arial" w:cs="Arial"/>
          <w:b/>
          <w:sz w:val="22"/>
          <w:szCs w:val="22"/>
        </w:rPr>
      </w:pPr>
      <w:r>
        <w:rPr>
          <w:rFonts w:ascii="Arial" w:eastAsia="Arial" w:hAnsi="Arial" w:cs="Arial"/>
          <w:sz w:val="22"/>
          <w:szCs w:val="22"/>
        </w:rPr>
        <w:t>Additional faculty are recruited as needed to populate other subcommittees that assist the Graduate Committee in organizing administration of thesis proposals, annual research retreats, student admissions and other student-centered activities, including faculty/student lunches, and graduate student journal clubs/seminars.</w:t>
      </w:r>
    </w:p>
    <w:p w14:paraId="0000001A" w14:textId="77777777" w:rsidR="00FC14A1" w:rsidRDefault="00FC14A1">
      <w:pPr>
        <w:ind w:left="0" w:hanging="2"/>
        <w:rPr>
          <w:rFonts w:ascii="Arial" w:eastAsia="Arial" w:hAnsi="Arial" w:cs="Arial"/>
          <w:sz w:val="22"/>
          <w:szCs w:val="22"/>
        </w:rPr>
      </w:pPr>
    </w:p>
    <w:p w14:paraId="0000001B" w14:textId="77777777" w:rsidR="00FC14A1" w:rsidRDefault="00FC14A1">
      <w:pPr>
        <w:ind w:left="0" w:hanging="2"/>
        <w:rPr>
          <w:rFonts w:ascii="Arial" w:eastAsia="Arial" w:hAnsi="Arial" w:cs="Arial"/>
          <w:sz w:val="22"/>
          <w:szCs w:val="22"/>
        </w:rPr>
      </w:pPr>
    </w:p>
    <w:p w14:paraId="0000001C" w14:textId="77777777" w:rsidR="00FC14A1" w:rsidRDefault="00000000">
      <w:pPr>
        <w:numPr>
          <w:ilvl w:val="0"/>
          <w:numId w:val="2"/>
        </w:numPr>
        <w:ind w:left="0" w:hanging="2"/>
        <w:rPr>
          <w:rFonts w:ascii="Arial" w:eastAsia="Arial" w:hAnsi="Arial" w:cs="Arial"/>
          <w:sz w:val="22"/>
          <w:szCs w:val="22"/>
        </w:rPr>
      </w:pPr>
      <w:r>
        <w:rPr>
          <w:rFonts w:ascii="Arial" w:eastAsia="Arial" w:hAnsi="Arial" w:cs="Arial"/>
          <w:b/>
          <w:sz w:val="22"/>
          <w:szCs w:val="22"/>
        </w:rPr>
        <w:t>STUDENT ADMISSIONS</w:t>
      </w:r>
      <w:r>
        <w:rPr>
          <w:rFonts w:ascii="Arial" w:eastAsia="Arial" w:hAnsi="Arial" w:cs="Arial"/>
          <w:sz w:val="22"/>
          <w:szCs w:val="22"/>
        </w:rPr>
        <w:t xml:space="preserve">. </w:t>
      </w:r>
    </w:p>
    <w:p w14:paraId="0000001D" w14:textId="77777777" w:rsidR="00FC14A1" w:rsidRDefault="00000000">
      <w:pPr>
        <w:ind w:left="0" w:hanging="2"/>
        <w:rPr>
          <w:rFonts w:ascii="Arial" w:eastAsia="Arial" w:hAnsi="Arial" w:cs="Arial"/>
          <w:sz w:val="22"/>
          <w:szCs w:val="22"/>
        </w:rPr>
      </w:pPr>
      <w:r>
        <w:rPr>
          <w:rFonts w:ascii="Arial" w:eastAsia="Arial" w:hAnsi="Arial" w:cs="Arial"/>
          <w:sz w:val="22"/>
          <w:szCs w:val="22"/>
        </w:rPr>
        <w:t>Students seeking admission to the PhD Program have a wide variety of academic backgrounds. The Program has few absolute requirements for admission. Most successful candidates have completed courses in college level mathematics, physics, organic and inorganic chemistry, and biology. Deficiencies in these areas do not preclude admission. At the discretion of the Graduate Committee, however, students may be required to make up deficiencies by attending additional courses/training prior to advancement to candidacy in the Program.</w:t>
      </w:r>
    </w:p>
    <w:p w14:paraId="0000001E" w14:textId="77777777" w:rsidR="00FC14A1" w:rsidRDefault="00000000">
      <w:pPr>
        <w:ind w:left="0" w:hanging="2"/>
        <w:rPr>
          <w:rFonts w:ascii="Noto Sans Symbols" w:eastAsia="Noto Sans Symbols" w:hAnsi="Noto Sans Symbols" w:cs="Noto Sans Symbols"/>
          <w:sz w:val="22"/>
          <w:szCs w:val="22"/>
        </w:rPr>
      </w:pPr>
      <w:r>
        <w:rPr>
          <w:rFonts w:ascii="Arial" w:eastAsia="Arial" w:hAnsi="Arial" w:cs="Arial"/>
          <w:sz w:val="22"/>
          <w:szCs w:val="22"/>
        </w:rPr>
        <w:t xml:space="preserve">The University’s Graduate School requires that </w:t>
      </w:r>
      <w:r>
        <w:rPr>
          <w:rFonts w:ascii="Arial" w:eastAsia="Arial" w:hAnsi="Arial" w:cs="Arial"/>
          <w:i/>
          <w:sz w:val="22"/>
          <w:szCs w:val="22"/>
        </w:rPr>
        <w:t xml:space="preserve">all </w:t>
      </w:r>
      <w:r>
        <w:rPr>
          <w:rFonts w:ascii="Arial" w:eastAsia="Arial" w:hAnsi="Arial" w:cs="Arial"/>
          <w:sz w:val="22"/>
          <w:szCs w:val="22"/>
        </w:rPr>
        <w:t>admitted students</w:t>
      </w:r>
      <w:r>
        <w:rPr>
          <w:rFonts w:ascii="Noto Sans Symbols" w:eastAsia="Noto Sans Symbols" w:hAnsi="Noto Sans Symbols" w:cs="Noto Sans Symbols"/>
          <w:sz w:val="22"/>
          <w:szCs w:val="22"/>
        </w:rPr>
        <w:t xml:space="preserve"> </w:t>
      </w:r>
    </w:p>
    <w:p w14:paraId="0000001F" w14:textId="77777777" w:rsidR="00FC14A1" w:rsidRDefault="00000000">
      <w:pPr>
        <w:ind w:left="0" w:hanging="2"/>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Have a bachelor’s degree from an accredited college or university.</w:t>
      </w:r>
      <w:r>
        <w:rPr>
          <w:rFonts w:ascii="Noto Sans Symbols" w:eastAsia="Noto Sans Symbols" w:hAnsi="Noto Sans Symbols" w:cs="Noto Sans Symbols"/>
          <w:sz w:val="22"/>
          <w:szCs w:val="22"/>
        </w:rPr>
        <w:t xml:space="preserve"> </w:t>
      </w:r>
    </w:p>
    <w:p w14:paraId="00000020" w14:textId="77777777" w:rsidR="00FC14A1" w:rsidRDefault="00000000">
      <w:pPr>
        <w:ind w:left="0" w:hanging="2"/>
        <w:rPr>
          <w:rFonts w:ascii="Noto Sans Symbols" w:eastAsia="Noto Sans Symbols" w:hAnsi="Noto Sans Symbols" w:cs="Noto Sans Symbols"/>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Have a cumulative grade point average corresponding to a B or better.</w:t>
      </w:r>
      <w:r>
        <w:rPr>
          <w:rFonts w:ascii="Noto Sans Symbols" w:eastAsia="Noto Sans Symbols" w:hAnsi="Noto Sans Symbols" w:cs="Noto Sans Symbols"/>
          <w:sz w:val="22"/>
          <w:szCs w:val="22"/>
        </w:rPr>
        <w:t xml:space="preserve"> </w:t>
      </w:r>
    </w:p>
    <w:p w14:paraId="00000021" w14:textId="77777777" w:rsidR="00FC14A1" w:rsidRDefault="00000000">
      <w:pPr>
        <w:ind w:left="0" w:hanging="2"/>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Foreign students must additionally supply proof of English language proficiency. One of the following is acceptable: TOEFL (Test of English as a Foreign Language) score of at least 90; IELTS overall score of 6.5 with no section below 6. </w:t>
      </w:r>
      <w:r>
        <w:rPr>
          <w:rFonts w:ascii="Arial" w:eastAsia="Arial" w:hAnsi="Arial" w:cs="Arial"/>
          <w:b/>
          <w:sz w:val="22"/>
          <w:szCs w:val="22"/>
        </w:rPr>
        <w:t>This requirement can only be waived if an international student has completed a program in an English-Speaking program prior to applying and can provide documentation.</w:t>
      </w:r>
    </w:p>
    <w:p w14:paraId="00000022" w14:textId="77777777" w:rsidR="00FC14A1" w:rsidRDefault="00FC14A1">
      <w:pPr>
        <w:ind w:left="0" w:hanging="2"/>
        <w:rPr>
          <w:rFonts w:ascii="Times" w:eastAsia="Times" w:hAnsi="Times" w:cs="Times"/>
        </w:rPr>
      </w:pPr>
    </w:p>
    <w:p w14:paraId="00000023" w14:textId="77777777" w:rsidR="00FC14A1" w:rsidRDefault="00000000">
      <w:pPr>
        <w:ind w:left="0" w:hanging="2"/>
        <w:rPr>
          <w:rFonts w:ascii="Arial" w:eastAsia="Arial" w:hAnsi="Arial" w:cs="Arial"/>
          <w:sz w:val="22"/>
          <w:szCs w:val="22"/>
        </w:rPr>
      </w:pPr>
      <w:r>
        <w:rPr>
          <w:rFonts w:ascii="Arial" w:eastAsia="Arial" w:hAnsi="Arial" w:cs="Arial"/>
          <w:sz w:val="22"/>
          <w:szCs w:val="22"/>
        </w:rPr>
        <w:t>All students must show suitability for graduate study as reflected in grades of appropriate coursework, letters of recommendation and research interests as indicated in the statement of interest.</w:t>
      </w:r>
    </w:p>
    <w:p w14:paraId="00000024" w14:textId="77777777" w:rsidR="00FC14A1" w:rsidRDefault="00000000">
      <w:pPr>
        <w:ind w:left="0" w:hanging="2"/>
        <w:rPr>
          <w:rFonts w:ascii="Arial" w:eastAsia="Arial" w:hAnsi="Arial" w:cs="Arial"/>
          <w:sz w:val="22"/>
          <w:szCs w:val="22"/>
        </w:rPr>
      </w:pPr>
      <w:r>
        <w:rPr>
          <w:rFonts w:ascii="Arial" w:eastAsia="Arial" w:hAnsi="Arial" w:cs="Arial"/>
          <w:sz w:val="22"/>
          <w:szCs w:val="22"/>
        </w:rPr>
        <w:t>Because of the curricular structure, applications are not considered for spring admission.</w:t>
      </w:r>
    </w:p>
    <w:p w14:paraId="00000025" w14:textId="77777777" w:rsidR="00FC14A1" w:rsidRDefault="00FC14A1">
      <w:pPr>
        <w:ind w:left="0" w:hanging="2"/>
        <w:rPr>
          <w:rFonts w:ascii="Arial" w:eastAsia="Arial" w:hAnsi="Arial" w:cs="Arial"/>
          <w:sz w:val="22"/>
          <w:szCs w:val="22"/>
        </w:rPr>
      </w:pPr>
    </w:p>
    <w:p w14:paraId="00000026" w14:textId="77777777" w:rsidR="00FC14A1" w:rsidRDefault="00000000">
      <w:pPr>
        <w:numPr>
          <w:ilvl w:val="0"/>
          <w:numId w:val="2"/>
        </w:numPr>
        <w:ind w:left="0" w:hanging="2"/>
        <w:rPr>
          <w:rFonts w:ascii="Arial" w:eastAsia="Arial" w:hAnsi="Arial" w:cs="Arial"/>
          <w:sz w:val="22"/>
          <w:szCs w:val="22"/>
        </w:rPr>
      </w:pPr>
      <w:r>
        <w:rPr>
          <w:rFonts w:ascii="Arial" w:eastAsia="Arial" w:hAnsi="Arial" w:cs="Arial"/>
          <w:b/>
          <w:sz w:val="22"/>
          <w:szCs w:val="22"/>
        </w:rPr>
        <w:t>FINANCIAL AID/SUPPORT</w:t>
      </w:r>
      <w:r>
        <w:rPr>
          <w:rFonts w:ascii="Arial" w:eastAsia="Arial" w:hAnsi="Arial" w:cs="Arial"/>
          <w:sz w:val="22"/>
          <w:szCs w:val="22"/>
        </w:rPr>
        <w:t xml:space="preserve"> </w:t>
      </w:r>
    </w:p>
    <w:p w14:paraId="00000027" w14:textId="77777777" w:rsidR="00FC14A1" w:rsidRDefault="00000000">
      <w:pPr>
        <w:ind w:left="0" w:hanging="2"/>
        <w:rPr>
          <w:rFonts w:ascii="Arial" w:eastAsia="Arial" w:hAnsi="Arial" w:cs="Arial"/>
          <w:sz w:val="22"/>
          <w:szCs w:val="22"/>
        </w:rPr>
      </w:pPr>
      <w:r>
        <w:rPr>
          <w:rFonts w:ascii="Arial" w:eastAsia="Arial" w:hAnsi="Arial" w:cs="Arial"/>
          <w:sz w:val="22"/>
          <w:szCs w:val="22"/>
        </w:rPr>
        <w:t>All doctoral candidates deemed by the Graduate Committee to be in good standing can expect to receive a full tuition scholarship and an annual stipend for the duration of their study. The stipend compensates for living costs such as university fees, medical insurance, books, and room and board. Sources of funding include teaching and research assistantships, and individual faculty research grants. Students are also encouraged to seek individual extramural grant/fellowship support. The stipend level is agreed upon by Programmatic vote, and is set to be competitive and commensurate with other graduate programs on the Stony Brook University campus.</w:t>
      </w:r>
    </w:p>
    <w:p w14:paraId="00000028" w14:textId="77777777" w:rsidR="00FC14A1" w:rsidRDefault="00FC14A1">
      <w:pPr>
        <w:ind w:left="0" w:hanging="2"/>
        <w:rPr>
          <w:rFonts w:ascii="Arial" w:eastAsia="Arial" w:hAnsi="Arial" w:cs="Arial"/>
          <w:sz w:val="22"/>
          <w:szCs w:val="22"/>
        </w:rPr>
      </w:pPr>
    </w:p>
    <w:p w14:paraId="00000029" w14:textId="77777777" w:rsidR="00FC14A1" w:rsidRDefault="00000000">
      <w:pPr>
        <w:ind w:left="0" w:hanging="2"/>
        <w:rPr>
          <w:rFonts w:ascii="Arial" w:eastAsia="Arial" w:hAnsi="Arial" w:cs="Arial"/>
          <w:sz w:val="22"/>
          <w:szCs w:val="22"/>
        </w:rPr>
      </w:pPr>
      <w:r>
        <w:rPr>
          <w:rFonts w:ascii="Arial" w:eastAsia="Arial" w:hAnsi="Arial" w:cs="Arial"/>
          <w:b/>
          <w:i/>
          <w:sz w:val="22"/>
          <w:szCs w:val="22"/>
        </w:rPr>
        <w:lastRenderedPageBreak/>
        <w:t>Note that TA support from the Graduate School cannot be guaranteed for admitted</w:t>
      </w:r>
      <w:r>
        <w:rPr>
          <w:rFonts w:ascii="Arial" w:eastAsia="Arial" w:hAnsi="Arial" w:cs="Arial"/>
          <w:sz w:val="22"/>
          <w:szCs w:val="22"/>
        </w:rPr>
        <w:t xml:space="preserve"> </w:t>
      </w:r>
      <w:r>
        <w:rPr>
          <w:rFonts w:ascii="Arial" w:eastAsia="Arial" w:hAnsi="Arial" w:cs="Arial"/>
          <w:b/>
          <w:i/>
          <w:sz w:val="22"/>
          <w:szCs w:val="22"/>
        </w:rPr>
        <w:t>students whose language skills prevent them from effectively teaching in the classroom.</w:t>
      </w:r>
    </w:p>
    <w:p w14:paraId="0000002A" w14:textId="77777777" w:rsidR="00FC14A1" w:rsidRDefault="00FC14A1">
      <w:pPr>
        <w:ind w:left="1" w:hanging="3"/>
        <w:rPr>
          <w:rFonts w:ascii="Arial" w:eastAsia="Arial" w:hAnsi="Arial" w:cs="Arial"/>
          <w:sz w:val="28"/>
          <w:szCs w:val="28"/>
        </w:rPr>
      </w:pPr>
    </w:p>
    <w:p w14:paraId="0000002B" w14:textId="77777777" w:rsidR="00FC14A1" w:rsidRDefault="00FC14A1">
      <w:pPr>
        <w:ind w:left="1" w:hanging="3"/>
        <w:rPr>
          <w:rFonts w:ascii="Arial" w:eastAsia="Arial" w:hAnsi="Arial" w:cs="Arial"/>
          <w:sz w:val="28"/>
          <w:szCs w:val="28"/>
        </w:rPr>
      </w:pPr>
    </w:p>
    <w:p w14:paraId="0000002C" w14:textId="77777777" w:rsidR="00FC14A1" w:rsidRDefault="00000000">
      <w:pPr>
        <w:ind w:left="1" w:hanging="3"/>
        <w:rPr>
          <w:rFonts w:ascii="Arial" w:eastAsia="Arial" w:hAnsi="Arial" w:cs="Arial"/>
          <w:sz w:val="28"/>
          <w:szCs w:val="28"/>
        </w:rPr>
      </w:pPr>
      <w:r>
        <w:rPr>
          <w:rFonts w:ascii="Arial" w:eastAsia="Arial" w:hAnsi="Arial" w:cs="Arial"/>
          <w:b/>
          <w:sz w:val="28"/>
          <w:szCs w:val="28"/>
        </w:rPr>
        <w:t>PHASE I OF TRAINING: DIDACTIC STUDY.</w:t>
      </w:r>
    </w:p>
    <w:p w14:paraId="0000002D" w14:textId="77777777" w:rsidR="00FC14A1" w:rsidRDefault="00000000">
      <w:pPr>
        <w:ind w:left="0" w:hanging="2"/>
        <w:rPr>
          <w:rFonts w:ascii="Arial" w:eastAsia="Arial" w:hAnsi="Arial" w:cs="Arial"/>
          <w:sz w:val="22"/>
          <w:szCs w:val="22"/>
        </w:rPr>
      </w:pPr>
      <w:r>
        <w:rPr>
          <w:rFonts w:ascii="Arial" w:eastAsia="Arial" w:hAnsi="Arial" w:cs="Arial"/>
          <w:b/>
          <w:sz w:val="22"/>
          <w:szCs w:val="22"/>
        </w:rPr>
        <w:t>1. COURSE REQUIREMENTS</w:t>
      </w:r>
      <w:r>
        <w:rPr>
          <w:rFonts w:ascii="Arial" w:eastAsia="Arial" w:hAnsi="Arial" w:cs="Arial"/>
          <w:sz w:val="22"/>
          <w:szCs w:val="22"/>
        </w:rPr>
        <w:t xml:space="preserve">. </w:t>
      </w:r>
    </w:p>
    <w:p w14:paraId="0000002E"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curriculum includes required Neuroscience core courses plus 6-8 credits worth of elective courses over the first two years of graduate study. NOTE: Electives may also be taken in the third year – see below.  All courses (except electives) are taught by Program Faculty, and provide a foundation of knowledge in diverse fields of neuroscience. </w:t>
      </w:r>
    </w:p>
    <w:p w14:paraId="0000002F" w14:textId="77777777" w:rsidR="00FC14A1" w:rsidRDefault="00FC14A1">
      <w:pPr>
        <w:ind w:left="0" w:hanging="2"/>
        <w:rPr>
          <w:rFonts w:ascii="Arial" w:eastAsia="Arial" w:hAnsi="Arial" w:cs="Arial"/>
          <w:sz w:val="22"/>
          <w:szCs w:val="22"/>
        </w:rPr>
      </w:pPr>
    </w:p>
    <w:p w14:paraId="00000030" w14:textId="77777777" w:rsidR="00FC14A1" w:rsidRDefault="00000000">
      <w:pPr>
        <w:ind w:left="0" w:hanging="2"/>
        <w:rPr>
          <w:rFonts w:ascii="Arial" w:eastAsia="Arial" w:hAnsi="Arial" w:cs="Arial"/>
          <w:sz w:val="22"/>
          <w:szCs w:val="22"/>
        </w:rPr>
      </w:pPr>
      <w:r>
        <w:rPr>
          <w:rFonts w:ascii="Arial" w:eastAsia="Arial" w:hAnsi="Arial" w:cs="Arial"/>
          <w:b/>
          <w:sz w:val="22"/>
          <w:szCs w:val="22"/>
        </w:rPr>
        <w:t>Laboratory rotations</w:t>
      </w:r>
      <w:r>
        <w:rPr>
          <w:rFonts w:ascii="Arial" w:eastAsia="Arial" w:hAnsi="Arial" w:cs="Arial"/>
          <w:sz w:val="22"/>
          <w:szCs w:val="22"/>
        </w:rPr>
        <w:t xml:space="preserve"> are an important component of the first year curriculum providing students with research opportunities in 3 different labs directed by members of the Program. Each rotation lasts approximately 12 weeks. By the end of the third rotation, students are expected to have identified a laboratory where they will carry out their dissertation research.</w:t>
      </w:r>
    </w:p>
    <w:p w14:paraId="00000031" w14:textId="77777777" w:rsidR="00FC14A1" w:rsidRDefault="00FC14A1">
      <w:pPr>
        <w:ind w:left="0" w:hanging="2"/>
        <w:rPr>
          <w:rFonts w:ascii="Arial" w:eastAsia="Arial" w:hAnsi="Arial" w:cs="Arial"/>
          <w:sz w:val="22"/>
          <w:szCs w:val="22"/>
        </w:rPr>
      </w:pPr>
    </w:p>
    <w:p w14:paraId="00000032"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All students must earn a B or better (or S) in each of these core courses (see Academic Standing). </w:t>
      </w:r>
    </w:p>
    <w:p w14:paraId="00000033" w14:textId="77777777" w:rsidR="00FC14A1" w:rsidRDefault="00FC14A1">
      <w:pPr>
        <w:ind w:left="0" w:hanging="2"/>
        <w:rPr>
          <w:rFonts w:ascii="Arial" w:eastAsia="Arial" w:hAnsi="Arial" w:cs="Arial"/>
          <w:sz w:val="22"/>
          <w:szCs w:val="22"/>
        </w:rPr>
      </w:pPr>
    </w:p>
    <w:p w14:paraId="00000034" w14:textId="77777777" w:rsidR="00FC14A1" w:rsidRDefault="00000000">
      <w:pPr>
        <w:ind w:left="1" w:hanging="3"/>
        <w:rPr>
          <w:rFonts w:ascii="Arial" w:eastAsia="Arial" w:hAnsi="Arial" w:cs="Arial"/>
          <w:sz w:val="28"/>
          <w:szCs w:val="28"/>
        </w:rPr>
      </w:pPr>
      <w:r>
        <w:rPr>
          <w:rFonts w:ascii="Arial" w:eastAsia="Arial" w:hAnsi="Arial" w:cs="Arial"/>
          <w:b/>
          <w:i/>
          <w:sz w:val="28"/>
          <w:szCs w:val="28"/>
        </w:rPr>
        <w:t>Core Neuroscience Curriculum: Fall Semester, First Year</w:t>
      </w:r>
    </w:p>
    <w:p w14:paraId="00000035" w14:textId="77777777" w:rsidR="00FC14A1" w:rsidRDefault="00000000">
      <w:pPr>
        <w:ind w:left="0" w:hanging="2"/>
        <w:rPr>
          <w:rFonts w:ascii="Arial" w:eastAsia="Arial" w:hAnsi="Arial" w:cs="Arial"/>
          <w:sz w:val="22"/>
          <w:szCs w:val="22"/>
        </w:rPr>
      </w:pPr>
      <w:r>
        <w:rPr>
          <w:rFonts w:ascii="Arial" w:eastAsia="Arial" w:hAnsi="Arial" w:cs="Arial"/>
          <w:b/>
          <w:sz w:val="22"/>
          <w:szCs w:val="22"/>
        </w:rPr>
        <w:t>NEU 521: Introduction to Cellular Neuroscience</w:t>
      </w:r>
      <w:r>
        <w:rPr>
          <w:rFonts w:ascii="Arial" w:eastAsia="Arial" w:hAnsi="Arial" w:cs="Arial"/>
          <w:sz w:val="22"/>
          <w:szCs w:val="22"/>
        </w:rPr>
        <w:t>. Topics covered include the ionic basis of resting potentials and electrical excitability, the structure, function of voltage</w:t>
      </w:r>
    </w:p>
    <w:p w14:paraId="00000036" w14:textId="77777777" w:rsidR="00FC14A1" w:rsidRDefault="00000000">
      <w:pPr>
        <w:ind w:left="0" w:hanging="2"/>
        <w:rPr>
          <w:rFonts w:ascii="Arial" w:eastAsia="Arial" w:hAnsi="Arial" w:cs="Arial"/>
          <w:sz w:val="22"/>
          <w:szCs w:val="22"/>
        </w:rPr>
      </w:pPr>
      <w:r>
        <w:rPr>
          <w:rFonts w:ascii="Arial" w:eastAsia="Arial" w:hAnsi="Arial" w:cs="Arial"/>
          <w:sz w:val="22"/>
          <w:szCs w:val="22"/>
        </w:rPr>
        <w:t>and ligand-gated ion channels, synaptic transmission. The module is scheduled in the first half of the fall semester. Letter grades.</w:t>
      </w:r>
    </w:p>
    <w:p w14:paraId="00000037" w14:textId="77777777" w:rsidR="00FC14A1" w:rsidRDefault="00FC14A1">
      <w:pPr>
        <w:ind w:left="0" w:hanging="2"/>
        <w:rPr>
          <w:rFonts w:ascii="Arial" w:eastAsia="Arial" w:hAnsi="Arial" w:cs="Arial"/>
          <w:sz w:val="22"/>
          <w:szCs w:val="22"/>
        </w:rPr>
      </w:pPr>
    </w:p>
    <w:p w14:paraId="00000038" w14:textId="77777777" w:rsidR="00FC14A1" w:rsidRDefault="00000000">
      <w:pPr>
        <w:ind w:left="0" w:hanging="2"/>
        <w:rPr>
          <w:rFonts w:ascii="Arial" w:eastAsia="Arial" w:hAnsi="Arial" w:cs="Arial"/>
          <w:sz w:val="22"/>
          <w:szCs w:val="22"/>
        </w:rPr>
      </w:pPr>
      <w:r>
        <w:rPr>
          <w:rFonts w:ascii="Arial" w:eastAsia="Arial" w:hAnsi="Arial" w:cs="Arial"/>
          <w:b/>
          <w:sz w:val="22"/>
          <w:szCs w:val="22"/>
        </w:rPr>
        <w:t>NEU 522: Introduction to Molecular Neuroscience</w:t>
      </w:r>
      <w:r>
        <w:rPr>
          <w:rFonts w:ascii="Arial" w:eastAsia="Arial" w:hAnsi="Arial" w:cs="Arial"/>
          <w:sz w:val="22"/>
          <w:szCs w:val="22"/>
        </w:rPr>
        <w:t>. Topics covered include cellular and molecular aspects of neuron function and intracellular signaling. Gene regulation of neuronal development and function are also included. The module is scheduled in the second half of the fall semester. Letter grades.</w:t>
      </w:r>
    </w:p>
    <w:p w14:paraId="00000039" w14:textId="77777777" w:rsidR="00FC14A1" w:rsidRDefault="00FC14A1">
      <w:pPr>
        <w:ind w:left="0" w:hanging="2"/>
        <w:rPr>
          <w:rFonts w:ascii="Arial" w:eastAsia="Arial" w:hAnsi="Arial" w:cs="Arial"/>
          <w:sz w:val="22"/>
          <w:szCs w:val="22"/>
        </w:rPr>
      </w:pPr>
    </w:p>
    <w:p w14:paraId="0000003A"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555: Laboratory Rotations in Neuroscience</w:t>
      </w:r>
      <w:r>
        <w:rPr>
          <w:rFonts w:ascii="Arial" w:eastAsia="Arial" w:hAnsi="Arial" w:cs="Arial"/>
          <w:sz w:val="22"/>
          <w:szCs w:val="22"/>
        </w:rPr>
        <w:t xml:space="preserve">. This course provides a mechanism for the evaluation of the three required rotations in faculty laboratories during the first year. Laboratory rotations extend over the entire first year with the first rotation starting at the beginning of the fall semester and ending by the end of November, the second rotation starting at the beginning of December and running until the end of February and the third rotation scheduled from the beginning of March to the end of the spring semester. Students are required to give brief oral presentations summarizing the goals and accomplishments of each rotation. These will consist of two </w:t>
      </w:r>
      <w:proofErr w:type="spellStart"/>
      <w:r>
        <w:rPr>
          <w:rFonts w:ascii="Arial" w:eastAsia="Arial" w:hAnsi="Arial" w:cs="Arial"/>
          <w:sz w:val="22"/>
          <w:szCs w:val="22"/>
        </w:rPr>
        <w:t>Powerpoint</w:t>
      </w:r>
      <w:proofErr w:type="spellEnd"/>
      <w:r>
        <w:rPr>
          <w:rFonts w:ascii="Arial" w:eastAsia="Arial" w:hAnsi="Arial" w:cs="Arial"/>
          <w:sz w:val="22"/>
          <w:szCs w:val="22"/>
        </w:rPr>
        <w:t xml:space="preserve"> presentations per rotation; a first talk will be given roughly half-way through the rotation and that emphasizes the background for their work, what their research questions are and how these fit in with the bigger picture, and how the work will be done (techniques, etc.); a second presentation will be given at the end of the rotation that will also include a summary of the data obtained and discussion of how finings advance the field. Presentations are given in a seminar room and are critiqued by peers, peer mentors and invited faculty. These talks are 20 min in duration. Letter grades.</w:t>
      </w:r>
    </w:p>
    <w:p w14:paraId="0000003B" w14:textId="77777777" w:rsidR="00FC14A1" w:rsidRDefault="00FC14A1">
      <w:pPr>
        <w:ind w:left="0" w:hanging="2"/>
        <w:rPr>
          <w:rFonts w:ascii="Times" w:eastAsia="Times" w:hAnsi="Times" w:cs="Times"/>
        </w:rPr>
      </w:pPr>
    </w:p>
    <w:p w14:paraId="0000003C" w14:textId="77777777" w:rsidR="00FC14A1" w:rsidRDefault="00000000">
      <w:pPr>
        <w:ind w:left="0" w:hanging="2"/>
        <w:rPr>
          <w:rFonts w:ascii="Arial" w:eastAsia="Arial" w:hAnsi="Arial" w:cs="Arial"/>
          <w:sz w:val="22"/>
          <w:szCs w:val="22"/>
        </w:rPr>
      </w:pPr>
      <w:r>
        <w:rPr>
          <w:rFonts w:ascii="Arial" w:eastAsia="Arial" w:hAnsi="Arial" w:cs="Arial"/>
          <w:b/>
          <w:sz w:val="22"/>
          <w:szCs w:val="22"/>
        </w:rPr>
        <w:lastRenderedPageBreak/>
        <w:t xml:space="preserve">BNB 567: Statistics and Data Analysis in Neuroscience 1: Foundations </w:t>
      </w:r>
      <w:r>
        <w:rPr>
          <w:rFonts w:ascii="Arial" w:eastAsia="Arial" w:hAnsi="Arial" w:cs="Arial"/>
          <w:sz w:val="22"/>
          <w:szCs w:val="22"/>
        </w:rPr>
        <w:t>. This course will introduce students to the fundamental principles and methods of the statistical analysis of neural and behavioral data. A major focus of the course will be on how to properly design experiments to test hypotheses, how to avoid common misconceptions and errors in data analysis and how to report statistics correctly in manuscripts submitted for publication. This course will aim at providing a rigorous foundation of general statistical principles that can be applied generally, with an emphasis on material of high relevance to biology and neuroscience. Letter grades.</w:t>
      </w:r>
    </w:p>
    <w:p w14:paraId="0000003D" w14:textId="77777777" w:rsidR="00FC14A1" w:rsidRDefault="00FC14A1">
      <w:pPr>
        <w:ind w:left="0" w:hanging="2"/>
        <w:rPr>
          <w:rFonts w:ascii="Arial" w:eastAsia="Arial" w:hAnsi="Arial" w:cs="Arial"/>
          <w:sz w:val="22"/>
          <w:szCs w:val="22"/>
        </w:rPr>
      </w:pPr>
    </w:p>
    <w:p w14:paraId="0000003E"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697: Neuroscience Seminar Series</w:t>
      </w:r>
      <w:r>
        <w:rPr>
          <w:rFonts w:ascii="Arial" w:eastAsia="Arial" w:hAnsi="Arial" w:cs="Arial"/>
          <w:sz w:val="22"/>
          <w:szCs w:val="22"/>
        </w:rPr>
        <w:t>. Students attend weekly seminar</w:t>
      </w:r>
    </w:p>
    <w:p w14:paraId="0000003F" w14:textId="77777777" w:rsidR="00FC14A1" w:rsidRDefault="00000000">
      <w:pPr>
        <w:ind w:left="0" w:hanging="2"/>
        <w:rPr>
          <w:rFonts w:ascii="Arial" w:eastAsia="Arial" w:hAnsi="Arial" w:cs="Arial"/>
          <w:sz w:val="22"/>
          <w:szCs w:val="22"/>
        </w:rPr>
      </w:pPr>
      <w:r>
        <w:rPr>
          <w:rFonts w:ascii="Arial" w:eastAsia="Arial" w:hAnsi="Arial" w:cs="Arial"/>
          <w:sz w:val="22"/>
          <w:szCs w:val="22"/>
        </w:rPr>
        <w:t>presentations given by visiting speakers, in-house faculty, associates, and students</w:t>
      </w:r>
    </w:p>
    <w:p w14:paraId="00000040" w14:textId="77777777" w:rsidR="00FC14A1" w:rsidRDefault="00000000">
      <w:pPr>
        <w:ind w:left="0" w:hanging="2"/>
        <w:rPr>
          <w:rFonts w:ascii="Arial" w:eastAsia="Arial" w:hAnsi="Arial" w:cs="Arial"/>
          <w:sz w:val="22"/>
          <w:szCs w:val="22"/>
        </w:rPr>
      </w:pPr>
      <w:r>
        <w:rPr>
          <w:rFonts w:ascii="Arial" w:eastAsia="Arial" w:hAnsi="Arial" w:cs="Arial"/>
          <w:sz w:val="22"/>
          <w:szCs w:val="22"/>
        </w:rPr>
        <w:t>(dissertation defenses). Seminars include subseries of four to five lectures that focus</w:t>
      </w:r>
    </w:p>
    <w:p w14:paraId="00000041"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on a particular topic in contemporary neuroscience. As proof of attendance, first year students hand in a brief, written exercise on the day of the seminar that relates specifically to the presentation. Attendance to at least 70% of seminars is mandatory for first year students and justifications should be submitted to the Graduate Program Director in case of absence. Upper class students are expected to attend seminars but do not have an obligation for a minimum attendance. S/U grading. </w:t>
      </w:r>
    </w:p>
    <w:p w14:paraId="00000042" w14:textId="77777777" w:rsidR="00FC14A1" w:rsidRDefault="00FC14A1">
      <w:pPr>
        <w:ind w:left="1" w:hanging="3"/>
        <w:rPr>
          <w:rFonts w:ascii="Arial" w:eastAsia="Arial" w:hAnsi="Arial" w:cs="Arial"/>
          <w:sz w:val="28"/>
          <w:szCs w:val="28"/>
        </w:rPr>
      </w:pPr>
    </w:p>
    <w:p w14:paraId="00000043" w14:textId="77777777" w:rsidR="00FC14A1" w:rsidRDefault="00000000">
      <w:pPr>
        <w:ind w:left="1" w:hanging="3"/>
        <w:rPr>
          <w:rFonts w:ascii="Arial" w:eastAsia="Arial" w:hAnsi="Arial" w:cs="Arial"/>
          <w:sz w:val="28"/>
          <w:szCs w:val="28"/>
        </w:rPr>
      </w:pPr>
      <w:r>
        <w:rPr>
          <w:rFonts w:ascii="Arial" w:eastAsia="Arial" w:hAnsi="Arial" w:cs="Arial"/>
          <w:b/>
          <w:i/>
          <w:sz w:val="28"/>
          <w:szCs w:val="28"/>
        </w:rPr>
        <w:t>Core Neuroscience Curriculum: SPRING , First Year</w:t>
      </w:r>
      <w:r>
        <w:rPr>
          <w:rFonts w:ascii="Arial" w:eastAsia="Arial" w:hAnsi="Arial" w:cs="Arial"/>
          <w:i/>
          <w:sz w:val="28"/>
          <w:szCs w:val="28"/>
        </w:rPr>
        <w:t>.</w:t>
      </w:r>
    </w:p>
    <w:p w14:paraId="00000044"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BNB 560: Introduction to Neuroanatomy: </w:t>
      </w:r>
      <w:r>
        <w:rPr>
          <w:rFonts w:ascii="Arial" w:eastAsia="Arial" w:hAnsi="Arial" w:cs="Arial"/>
          <w:sz w:val="22"/>
          <w:szCs w:val="22"/>
        </w:rPr>
        <w:t xml:space="preserve">This course consists of self- and group- learning from visual presentations and supplemental lectures providing an overview of the structural organization of the nervous system.  The mammalian nervous system and its sensory, motor and cognitive components are emphasized.  Opportunities for examination of whole brains and histological sections, and some hands-on experience with basic neuroanatomical techniques may also be available.  Letter grade. </w:t>
      </w:r>
    </w:p>
    <w:p w14:paraId="00000045" w14:textId="77777777" w:rsidR="00FC14A1" w:rsidRDefault="00FC14A1">
      <w:pPr>
        <w:ind w:left="1" w:hanging="3"/>
        <w:rPr>
          <w:rFonts w:ascii="Arial" w:eastAsia="Arial" w:hAnsi="Arial" w:cs="Arial"/>
          <w:sz w:val="28"/>
          <w:szCs w:val="28"/>
        </w:rPr>
      </w:pPr>
    </w:p>
    <w:p w14:paraId="00000046" w14:textId="77777777" w:rsidR="00FC14A1" w:rsidRDefault="00000000">
      <w:pPr>
        <w:ind w:left="1" w:hanging="3"/>
        <w:rPr>
          <w:rFonts w:ascii="Arial" w:eastAsia="Arial" w:hAnsi="Arial" w:cs="Arial"/>
          <w:sz w:val="28"/>
          <w:szCs w:val="28"/>
        </w:rPr>
      </w:pPr>
      <w:r>
        <w:rPr>
          <w:rFonts w:ascii="Arial" w:eastAsia="Arial" w:hAnsi="Arial" w:cs="Arial"/>
          <w:b/>
          <w:i/>
          <w:sz w:val="28"/>
          <w:szCs w:val="28"/>
        </w:rPr>
        <w:t>Core Neuroscience Curriculum: Spring Semester, First Year</w:t>
      </w:r>
      <w:r>
        <w:rPr>
          <w:rFonts w:ascii="Arial" w:eastAsia="Arial" w:hAnsi="Arial" w:cs="Arial"/>
          <w:i/>
          <w:sz w:val="28"/>
          <w:szCs w:val="28"/>
        </w:rPr>
        <w:t>.</w:t>
      </w:r>
    </w:p>
    <w:p w14:paraId="00000047"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562: Introduction to Neuroscience II</w:t>
      </w:r>
      <w:r>
        <w:rPr>
          <w:rFonts w:ascii="Arial" w:eastAsia="Arial" w:hAnsi="Arial" w:cs="Arial"/>
          <w:sz w:val="22"/>
          <w:szCs w:val="22"/>
        </w:rPr>
        <w:t>. This is second of a two semester course in</w:t>
      </w:r>
    </w:p>
    <w:p w14:paraId="00000048" w14:textId="77777777" w:rsidR="00FC14A1" w:rsidRDefault="00000000">
      <w:pPr>
        <w:ind w:left="0" w:hanging="2"/>
        <w:rPr>
          <w:rFonts w:ascii="Arial" w:eastAsia="Arial" w:hAnsi="Arial" w:cs="Arial"/>
          <w:sz w:val="22"/>
          <w:szCs w:val="22"/>
        </w:rPr>
      </w:pPr>
      <w:r>
        <w:rPr>
          <w:rFonts w:ascii="Arial" w:eastAsia="Arial" w:hAnsi="Arial" w:cs="Arial"/>
          <w:sz w:val="22"/>
          <w:szCs w:val="22"/>
        </w:rPr>
        <w:t>neuroscience and behavior. Topics covered include analyses of the major sensory</w:t>
      </w:r>
    </w:p>
    <w:p w14:paraId="00000049" w14:textId="77777777" w:rsidR="00FC14A1" w:rsidRDefault="00000000">
      <w:pPr>
        <w:ind w:left="0" w:hanging="2"/>
        <w:rPr>
          <w:rFonts w:ascii="Arial" w:eastAsia="Arial" w:hAnsi="Arial" w:cs="Arial"/>
          <w:sz w:val="22"/>
          <w:szCs w:val="22"/>
        </w:rPr>
      </w:pPr>
      <w:r>
        <w:rPr>
          <w:rFonts w:ascii="Arial" w:eastAsia="Arial" w:hAnsi="Arial" w:cs="Arial"/>
          <w:sz w:val="22"/>
          <w:szCs w:val="22"/>
        </w:rPr>
        <w:t>systems, non-pyramidal motor systems, and systems mediating higher order, cognitive functions in the nervous system. Letter grades.</w:t>
      </w:r>
    </w:p>
    <w:p w14:paraId="0000004A" w14:textId="77777777" w:rsidR="00FC14A1" w:rsidRDefault="00FC14A1">
      <w:pPr>
        <w:ind w:left="0" w:hanging="2"/>
        <w:rPr>
          <w:rFonts w:ascii="Arial" w:eastAsia="Arial" w:hAnsi="Arial" w:cs="Arial"/>
          <w:sz w:val="22"/>
          <w:szCs w:val="22"/>
        </w:rPr>
      </w:pPr>
    </w:p>
    <w:p w14:paraId="0000004B"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555: Laboratory Rotations in Neuroscience</w:t>
      </w:r>
      <w:r>
        <w:rPr>
          <w:rFonts w:ascii="Arial" w:eastAsia="Arial" w:hAnsi="Arial" w:cs="Arial"/>
          <w:sz w:val="22"/>
          <w:szCs w:val="22"/>
        </w:rPr>
        <w:t xml:space="preserve">. This is a continuation of the rotation course described above. Laboratory rotations extend over the entire first year with the first rotation starting at the beginning of the fall semester and ending by the end of November, the second rotation starting at the beginning of December and running until the end of February and the </w:t>
      </w:r>
      <w:proofErr w:type="spellStart"/>
      <w:r>
        <w:rPr>
          <w:rFonts w:ascii="Arial" w:eastAsia="Arial" w:hAnsi="Arial" w:cs="Arial"/>
          <w:sz w:val="22"/>
          <w:szCs w:val="22"/>
        </w:rPr>
        <w:t>thor</w:t>
      </w:r>
      <w:proofErr w:type="spellEnd"/>
      <w:r>
        <w:rPr>
          <w:rFonts w:ascii="Arial" w:eastAsia="Arial" w:hAnsi="Arial" w:cs="Arial"/>
          <w:sz w:val="22"/>
          <w:szCs w:val="22"/>
        </w:rPr>
        <w:t xml:space="preserve"> rotation scheduled from the beginning of March to the end of the spring semester. Students are required to give brief oral presentations summarizing the goals and accomplishments of each rotation. These will consist of two </w:t>
      </w:r>
      <w:proofErr w:type="spellStart"/>
      <w:r>
        <w:rPr>
          <w:rFonts w:ascii="Arial" w:eastAsia="Arial" w:hAnsi="Arial" w:cs="Arial"/>
          <w:sz w:val="22"/>
          <w:szCs w:val="22"/>
        </w:rPr>
        <w:t>Powerpoint</w:t>
      </w:r>
      <w:proofErr w:type="spellEnd"/>
      <w:r>
        <w:rPr>
          <w:rFonts w:ascii="Arial" w:eastAsia="Arial" w:hAnsi="Arial" w:cs="Arial"/>
          <w:sz w:val="22"/>
          <w:szCs w:val="22"/>
        </w:rPr>
        <w:t xml:space="preserve"> presentations per rotation; a first talk will be given roughly half-way through the rotation and that emphasizes the background for their work, what their research questions are and how these fit in with the bigger picture, and how the work will be done (techniques, etc.); a second presentation will be given at the end of the rotation that will also include a summary of the data obtained and discussion of how finings advance the field. Presentations are given in a seminar room and are critiques by peers, peer mentors and invited faculty. These talks are 20 min in duration. Letter grades.</w:t>
      </w:r>
    </w:p>
    <w:p w14:paraId="0000004C" w14:textId="77777777" w:rsidR="00FC14A1" w:rsidRDefault="00FC14A1">
      <w:pPr>
        <w:ind w:left="0" w:hanging="2"/>
        <w:rPr>
          <w:rFonts w:ascii="Arial" w:eastAsia="Arial" w:hAnsi="Arial" w:cs="Arial"/>
          <w:sz w:val="22"/>
          <w:szCs w:val="22"/>
        </w:rPr>
      </w:pPr>
    </w:p>
    <w:p w14:paraId="0000004D"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697: Neuroscience Seminar Series</w:t>
      </w:r>
      <w:r>
        <w:rPr>
          <w:rFonts w:ascii="Arial" w:eastAsia="Arial" w:hAnsi="Arial" w:cs="Arial"/>
          <w:sz w:val="22"/>
          <w:szCs w:val="22"/>
        </w:rPr>
        <w:t>. Students attend weekly seminar</w:t>
      </w:r>
    </w:p>
    <w:p w14:paraId="0000004E" w14:textId="77777777" w:rsidR="00FC14A1" w:rsidRDefault="00000000">
      <w:pPr>
        <w:ind w:left="0" w:hanging="2"/>
        <w:rPr>
          <w:rFonts w:ascii="Arial" w:eastAsia="Arial" w:hAnsi="Arial" w:cs="Arial"/>
          <w:sz w:val="22"/>
          <w:szCs w:val="22"/>
        </w:rPr>
      </w:pPr>
      <w:r>
        <w:rPr>
          <w:rFonts w:ascii="Arial" w:eastAsia="Arial" w:hAnsi="Arial" w:cs="Arial"/>
          <w:sz w:val="22"/>
          <w:szCs w:val="22"/>
        </w:rPr>
        <w:lastRenderedPageBreak/>
        <w:t>presentations given by visiting speakers, in-house faculty, associates, and students</w:t>
      </w:r>
    </w:p>
    <w:p w14:paraId="0000004F" w14:textId="77777777" w:rsidR="00FC14A1" w:rsidRDefault="00000000">
      <w:pPr>
        <w:ind w:left="0" w:hanging="2"/>
        <w:rPr>
          <w:rFonts w:ascii="Arial" w:eastAsia="Arial" w:hAnsi="Arial" w:cs="Arial"/>
          <w:sz w:val="22"/>
          <w:szCs w:val="22"/>
        </w:rPr>
      </w:pPr>
      <w:r>
        <w:rPr>
          <w:rFonts w:ascii="Arial" w:eastAsia="Arial" w:hAnsi="Arial" w:cs="Arial"/>
          <w:sz w:val="22"/>
          <w:szCs w:val="22"/>
        </w:rPr>
        <w:t>(dissertation defenses). Seminars include subseries of three to four lectures that focus</w:t>
      </w:r>
    </w:p>
    <w:p w14:paraId="00000050" w14:textId="77777777" w:rsidR="00FC14A1" w:rsidRDefault="00000000">
      <w:pPr>
        <w:ind w:left="0" w:hanging="2"/>
        <w:rPr>
          <w:rFonts w:ascii="Arial" w:eastAsia="Arial" w:hAnsi="Arial" w:cs="Arial"/>
          <w:sz w:val="22"/>
          <w:szCs w:val="22"/>
        </w:rPr>
      </w:pPr>
      <w:r>
        <w:rPr>
          <w:rFonts w:ascii="Arial" w:eastAsia="Arial" w:hAnsi="Arial" w:cs="Arial"/>
          <w:sz w:val="22"/>
          <w:szCs w:val="22"/>
        </w:rPr>
        <w:t>on a particular topic in contemporary neuroscience. S/U grading. See above,</w:t>
      </w:r>
    </w:p>
    <w:p w14:paraId="00000051" w14:textId="77777777" w:rsidR="00FC14A1" w:rsidRDefault="00FC14A1">
      <w:pPr>
        <w:ind w:left="0" w:hanging="2"/>
        <w:rPr>
          <w:rFonts w:ascii="Arial" w:eastAsia="Arial" w:hAnsi="Arial" w:cs="Arial"/>
          <w:sz w:val="22"/>
          <w:szCs w:val="22"/>
        </w:rPr>
      </w:pPr>
    </w:p>
    <w:p w14:paraId="00000052" w14:textId="77777777" w:rsidR="00FC14A1" w:rsidRDefault="00000000">
      <w:pPr>
        <w:ind w:left="1" w:hanging="3"/>
        <w:rPr>
          <w:rFonts w:ascii="Arial" w:eastAsia="Arial" w:hAnsi="Arial" w:cs="Arial"/>
          <w:sz w:val="28"/>
          <w:szCs w:val="28"/>
        </w:rPr>
      </w:pPr>
      <w:r>
        <w:rPr>
          <w:rFonts w:ascii="Arial" w:eastAsia="Arial" w:hAnsi="Arial" w:cs="Arial"/>
          <w:b/>
          <w:i/>
          <w:sz w:val="28"/>
          <w:szCs w:val="28"/>
        </w:rPr>
        <w:t>Core Neuroscience Curriculum: Fall Semester, Second Year</w:t>
      </w:r>
    </w:p>
    <w:p w14:paraId="00000053"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major component of the second year curriculum is the </w:t>
      </w:r>
      <w:r>
        <w:rPr>
          <w:rFonts w:ascii="Arial" w:eastAsia="Arial" w:hAnsi="Arial" w:cs="Arial"/>
          <w:b/>
          <w:sz w:val="22"/>
          <w:szCs w:val="22"/>
        </w:rPr>
        <w:t>grant writing course BNB 551</w:t>
      </w:r>
      <w:r>
        <w:rPr>
          <w:rFonts w:ascii="Arial" w:eastAsia="Arial" w:hAnsi="Arial" w:cs="Arial"/>
          <w:sz w:val="22"/>
          <w:szCs w:val="22"/>
        </w:rPr>
        <w:t xml:space="preserve"> a writing practicum during which students draft the components of an NIH fellowship proposal and learn about the grant review process. The course is scheduled for the fall semester and meets for 8 weeks. In addition, students are required to take 2 modules in the spring semester </w:t>
      </w:r>
      <w:r>
        <w:rPr>
          <w:rFonts w:ascii="Arial" w:eastAsia="Arial" w:hAnsi="Arial" w:cs="Arial"/>
          <w:b/>
          <w:sz w:val="22"/>
          <w:szCs w:val="22"/>
        </w:rPr>
        <w:t>BNB 565: Advanced Topics in Neuroscience</w:t>
      </w:r>
      <w:r>
        <w:rPr>
          <w:rFonts w:ascii="Arial" w:eastAsia="Arial" w:hAnsi="Arial" w:cs="Arial"/>
          <w:sz w:val="22"/>
          <w:szCs w:val="22"/>
        </w:rPr>
        <w:t>, 5 week module course introducing students to major contemporary topics within the area of Neuroscience and</w:t>
      </w:r>
      <w:r>
        <w:rPr>
          <w:rFonts w:ascii="Arial" w:eastAsia="Arial" w:hAnsi="Arial" w:cs="Arial"/>
          <w:b/>
          <w:sz w:val="22"/>
          <w:szCs w:val="22"/>
        </w:rPr>
        <w:t xml:space="preserve"> BNB 566: Neurobiology of Disease, </w:t>
      </w:r>
      <w:r>
        <w:rPr>
          <w:rFonts w:ascii="Arial" w:eastAsia="Arial" w:hAnsi="Arial" w:cs="Arial"/>
          <w:sz w:val="22"/>
          <w:szCs w:val="22"/>
        </w:rPr>
        <w:t>a 4 weeks module focused on translational Neuroscience. Students are engaged in discussion of modern scientific literature and are expected to read and present published work for discussion. A faculty preceptor evaluates preparation and participation. Letter grades. Students are required to take BNB 566 one time for credit and it may be repeated a second time also for credit. They take 3 additional modules during the second academic year of their choosing from the lists below. Equivalent courses from other graduate programs are acceptable. Advanced first year students may also take one or more modules, with the second year requirement being reduced accordingly. Letter grades.</w:t>
      </w:r>
    </w:p>
    <w:p w14:paraId="00000054" w14:textId="77777777" w:rsidR="00FC14A1" w:rsidRDefault="00FC14A1">
      <w:pPr>
        <w:ind w:left="0" w:hanging="2"/>
        <w:rPr>
          <w:rFonts w:ascii="Arial" w:eastAsia="Arial" w:hAnsi="Arial" w:cs="Arial"/>
          <w:sz w:val="22"/>
          <w:szCs w:val="22"/>
        </w:rPr>
      </w:pPr>
    </w:p>
    <w:p w14:paraId="00000055"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563: Advanced Topics in Neuroscience: Individual Learning Plan</w:t>
      </w:r>
      <w:r>
        <w:rPr>
          <w:rFonts w:ascii="Arial" w:eastAsia="Arial" w:hAnsi="Arial" w:cs="Arial"/>
          <w:sz w:val="22"/>
          <w:szCs w:val="22"/>
        </w:rPr>
        <w:t xml:space="preserve">. Preceptor-facilitated course in selected topics in neuroscience. One-on-one directed readings and discussions culminate in  a required writing component. Letter grade. </w:t>
      </w:r>
    </w:p>
    <w:p w14:paraId="00000056" w14:textId="77777777" w:rsidR="00FC14A1" w:rsidRDefault="00FC14A1">
      <w:pPr>
        <w:ind w:left="0" w:hanging="2"/>
        <w:rPr>
          <w:rFonts w:ascii="Arial" w:eastAsia="Arial" w:hAnsi="Arial" w:cs="Arial"/>
          <w:sz w:val="22"/>
          <w:szCs w:val="22"/>
        </w:rPr>
      </w:pPr>
    </w:p>
    <w:p w14:paraId="00000057"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564: Advanced Topics in Neuroscience: Curriculum Development Plan</w:t>
      </w:r>
      <w:r>
        <w:rPr>
          <w:rFonts w:ascii="Arial" w:eastAsia="Arial" w:hAnsi="Arial" w:cs="Arial"/>
          <w:sz w:val="22"/>
          <w:szCs w:val="22"/>
        </w:rPr>
        <w:t xml:space="preserve">. Module/journal club style course focused topics in neuroscience and neuroscience pedagogy. Letter grades. </w:t>
      </w:r>
    </w:p>
    <w:p w14:paraId="00000058" w14:textId="77777777" w:rsidR="00FC14A1" w:rsidRDefault="00FC14A1">
      <w:pPr>
        <w:ind w:left="0" w:hanging="2"/>
        <w:rPr>
          <w:rFonts w:ascii="Arial" w:eastAsia="Arial" w:hAnsi="Arial" w:cs="Arial"/>
          <w:sz w:val="22"/>
          <w:szCs w:val="22"/>
        </w:rPr>
      </w:pPr>
    </w:p>
    <w:p w14:paraId="00000059"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BNB 597: Seminar Theme: </w:t>
      </w:r>
      <w:r>
        <w:rPr>
          <w:rFonts w:ascii="Arial" w:eastAsia="Arial" w:hAnsi="Arial" w:cs="Arial"/>
          <w:sz w:val="22"/>
          <w:szCs w:val="22"/>
        </w:rPr>
        <w:t>A module course organized around the Fall semester special theme seminar series. Students read and discuss papers recommended by the weekly seminar speakers. This module provides students the opportunity to meet with distinguished guest seminar speakers.</w:t>
      </w:r>
    </w:p>
    <w:p w14:paraId="0000005A" w14:textId="77777777" w:rsidR="00FC14A1" w:rsidRDefault="00FC14A1">
      <w:pPr>
        <w:ind w:left="0" w:hanging="2"/>
        <w:rPr>
          <w:rFonts w:ascii="Arial" w:eastAsia="Arial" w:hAnsi="Arial" w:cs="Arial"/>
          <w:sz w:val="22"/>
          <w:szCs w:val="22"/>
        </w:rPr>
      </w:pPr>
    </w:p>
    <w:p w14:paraId="0000005B"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BNB 599: Research. </w:t>
      </w:r>
      <w:r>
        <w:rPr>
          <w:rFonts w:ascii="Arial" w:eastAsia="Arial" w:hAnsi="Arial" w:cs="Arial"/>
          <w:sz w:val="22"/>
          <w:szCs w:val="22"/>
        </w:rPr>
        <w:t>Directed research in the home laboratory for thesis work, prior to</w:t>
      </w:r>
    </w:p>
    <w:p w14:paraId="0000005C" w14:textId="77777777" w:rsidR="00FC14A1" w:rsidRDefault="00000000">
      <w:pPr>
        <w:ind w:left="0" w:hanging="2"/>
        <w:rPr>
          <w:rFonts w:ascii="Arial" w:eastAsia="Arial" w:hAnsi="Arial" w:cs="Arial"/>
          <w:sz w:val="22"/>
          <w:szCs w:val="22"/>
        </w:rPr>
      </w:pPr>
      <w:r>
        <w:rPr>
          <w:rFonts w:ascii="Arial" w:eastAsia="Arial" w:hAnsi="Arial" w:cs="Arial"/>
          <w:sz w:val="22"/>
          <w:szCs w:val="22"/>
        </w:rPr>
        <w:t>advancement to candidacy. S/U grading.</w:t>
      </w:r>
    </w:p>
    <w:p w14:paraId="0000005D" w14:textId="77777777" w:rsidR="00FC14A1" w:rsidRDefault="00FC14A1">
      <w:pPr>
        <w:ind w:left="0" w:hanging="2"/>
        <w:rPr>
          <w:rFonts w:ascii="Arial" w:eastAsia="Arial" w:hAnsi="Arial" w:cs="Arial"/>
          <w:sz w:val="22"/>
          <w:szCs w:val="22"/>
        </w:rPr>
      </w:pPr>
    </w:p>
    <w:p w14:paraId="0000005E" w14:textId="77777777" w:rsidR="00FC14A1" w:rsidRDefault="00000000">
      <w:pPr>
        <w:ind w:left="1" w:hanging="3"/>
        <w:rPr>
          <w:rFonts w:ascii="Arial" w:eastAsia="Arial" w:hAnsi="Arial" w:cs="Arial"/>
          <w:sz w:val="28"/>
          <w:szCs w:val="28"/>
        </w:rPr>
      </w:pPr>
      <w:r>
        <w:rPr>
          <w:rFonts w:ascii="Arial" w:eastAsia="Arial" w:hAnsi="Arial" w:cs="Arial"/>
          <w:b/>
          <w:i/>
          <w:sz w:val="28"/>
          <w:szCs w:val="28"/>
        </w:rPr>
        <w:t>Core Neuroscience Curriculum: Spring Semester, Second Year</w:t>
      </w:r>
    </w:p>
    <w:p w14:paraId="0000005F"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563: Advanced Topics in Neuroscience: Individual Learning  Plan</w:t>
      </w:r>
      <w:r>
        <w:rPr>
          <w:rFonts w:ascii="Arial" w:eastAsia="Arial" w:hAnsi="Arial" w:cs="Arial"/>
          <w:sz w:val="22"/>
          <w:szCs w:val="22"/>
        </w:rPr>
        <w:t xml:space="preserve">. Preceptor-facilitated course in selected topics in neuroscience. One-on-one directed readings and discussions culminate in  a required writing component. 1 credit each. Letter grade. </w:t>
      </w:r>
    </w:p>
    <w:p w14:paraId="00000060" w14:textId="77777777" w:rsidR="00FC14A1" w:rsidRDefault="00FC14A1">
      <w:pPr>
        <w:ind w:left="0" w:hanging="2"/>
        <w:rPr>
          <w:rFonts w:ascii="Arial" w:eastAsia="Arial" w:hAnsi="Arial" w:cs="Arial"/>
          <w:sz w:val="22"/>
          <w:szCs w:val="22"/>
        </w:rPr>
      </w:pPr>
    </w:p>
    <w:p w14:paraId="00000061"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564: Advanced Topics in Neuroscience: Curriculum Development Plan</w:t>
      </w:r>
      <w:r>
        <w:rPr>
          <w:rFonts w:ascii="Arial" w:eastAsia="Arial" w:hAnsi="Arial" w:cs="Arial"/>
          <w:sz w:val="22"/>
          <w:szCs w:val="22"/>
        </w:rPr>
        <w:t xml:space="preserve">. Module/journal club style course focused topics in neuroscience and neuroscience pedagogy. Letter grades.  </w:t>
      </w:r>
    </w:p>
    <w:p w14:paraId="00000062" w14:textId="77777777" w:rsidR="00FC14A1" w:rsidRDefault="00FC14A1">
      <w:pPr>
        <w:ind w:left="0" w:hanging="2"/>
        <w:rPr>
          <w:rFonts w:ascii="Arial" w:eastAsia="Arial" w:hAnsi="Arial" w:cs="Arial"/>
          <w:sz w:val="22"/>
          <w:szCs w:val="22"/>
        </w:rPr>
      </w:pPr>
    </w:p>
    <w:p w14:paraId="00000063"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BNB 565: Advanced Topics in Neuroscience: </w:t>
      </w:r>
      <w:r>
        <w:rPr>
          <w:rFonts w:ascii="Arial" w:eastAsia="Arial" w:hAnsi="Arial" w:cs="Arial"/>
          <w:sz w:val="22"/>
          <w:szCs w:val="22"/>
        </w:rPr>
        <w:t xml:space="preserve">A 5 week module course introducing students to major contemporary topics within the area of Neuroscience. Technical advances as well as analytical approaches are included in the course. Students are engaged in discussion of modern scientific literature and are expected to read and </w:t>
      </w:r>
      <w:r>
        <w:rPr>
          <w:rFonts w:ascii="Arial" w:eastAsia="Arial" w:hAnsi="Arial" w:cs="Arial"/>
          <w:sz w:val="22"/>
          <w:szCs w:val="22"/>
        </w:rPr>
        <w:lastRenderedPageBreak/>
        <w:t>present published work for discussion. A faculty preceptor evaluates preparation and participation. Letter grades.</w:t>
      </w:r>
    </w:p>
    <w:p w14:paraId="00000064" w14:textId="77777777" w:rsidR="00FC14A1" w:rsidRDefault="00FC14A1">
      <w:pPr>
        <w:ind w:left="0" w:hanging="2"/>
        <w:rPr>
          <w:rFonts w:ascii="Arial" w:eastAsia="Arial" w:hAnsi="Arial" w:cs="Arial"/>
          <w:sz w:val="22"/>
          <w:szCs w:val="22"/>
        </w:rPr>
      </w:pPr>
    </w:p>
    <w:p w14:paraId="00000065" w14:textId="77777777" w:rsidR="00FC14A1" w:rsidRDefault="00000000">
      <w:pPr>
        <w:ind w:left="0" w:hanging="2"/>
        <w:rPr>
          <w:rFonts w:ascii="Arial" w:eastAsia="Arial" w:hAnsi="Arial" w:cs="Arial"/>
          <w:sz w:val="22"/>
          <w:szCs w:val="22"/>
        </w:rPr>
      </w:pPr>
      <w:r>
        <w:rPr>
          <w:rFonts w:ascii="Arial" w:eastAsia="Arial" w:hAnsi="Arial" w:cs="Arial"/>
          <w:b/>
          <w:sz w:val="22"/>
          <w:szCs w:val="22"/>
        </w:rPr>
        <w:t>BNB 566: Neurobiology of Disease</w:t>
      </w:r>
      <w:r>
        <w:rPr>
          <w:rFonts w:ascii="Arial" w:eastAsia="Arial" w:hAnsi="Arial" w:cs="Arial"/>
          <w:sz w:val="22"/>
          <w:szCs w:val="22"/>
        </w:rPr>
        <w:t>: A module course organized around the Spring semester Neurobiology of Disease seminar series. Students read and discuss papers  recommended by the weekly seminar speakers. This module provides students the opportunity to meet with distinguished guest seminar speakers.</w:t>
      </w:r>
    </w:p>
    <w:p w14:paraId="00000066" w14:textId="77777777" w:rsidR="00FC14A1" w:rsidRDefault="00FC14A1">
      <w:pPr>
        <w:ind w:left="0" w:hanging="2"/>
        <w:rPr>
          <w:rFonts w:ascii="Arial" w:eastAsia="Arial" w:hAnsi="Arial" w:cs="Arial"/>
          <w:sz w:val="22"/>
          <w:szCs w:val="22"/>
        </w:rPr>
      </w:pPr>
    </w:p>
    <w:p w14:paraId="00000067"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BNB 599: Research. </w:t>
      </w:r>
      <w:r>
        <w:rPr>
          <w:rFonts w:ascii="Arial" w:eastAsia="Arial" w:hAnsi="Arial" w:cs="Arial"/>
          <w:sz w:val="22"/>
          <w:szCs w:val="22"/>
        </w:rPr>
        <w:t>Directed research in the home laboratory for thesis work, prior to</w:t>
      </w:r>
    </w:p>
    <w:p w14:paraId="00000068" w14:textId="77777777" w:rsidR="00FC14A1" w:rsidRDefault="00000000">
      <w:pPr>
        <w:ind w:left="0" w:hanging="2"/>
        <w:rPr>
          <w:rFonts w:ascii="Arial" w:eastAsia="Arial" w:hAnsi="Arial" w:cs="Arial"/>
          <w:sz w:val="22"/>
          <w:szCs w:val="22"/>
        </w:rPr>
      </w:pPr>
      <w:r>
        <w:rPr>
          <w:rFonts w:ascii="Arial" w:eastAsia="Arial" w:hAnsi="Arial" w:cs="Arial"/>
          <w:sz w:val="22"/>
          <w:szCs w:val="22"/>
        </w:rPr>
        <w:t>advancement to candidacy. S/U grading.</w:t>
      </w:r>
    </w:p>
    <w:p w14:paraId="00000069" w14:textId="77777777" w:rsidR="00FC14A1" w:rsidRDefault="00FC14A1">
      <w:pPr>
        <w:ind w:left="0" w:hanging="2"/>
        <w:rPr>
          <w:rFonts w:ascii="Times" w:eastAsia="Times" w:hAnsi="Times" w:cs="Times"/>
        </w:rPr>
      </w:pPr>
    </w:p>
    <w:p w14:paraId="0000006A" w14:textId="77777777" w:rsidR="00FC14A1" w:rsidRDefault="00000000">
      <w:pPr>
        <w:ind w:left="1" w:hanging="3"/>
        <w:rPr>
          <w:rFonts w:ascii="Arial" w:eastAsia="Arial" w:hAnsi="Arial" w:cs="Arial"/>
          <w:i/>
        </w:rPr>
      </w:pPr>
      <w:r>
        <w:rPr>
          <w:rFonts w:ascii="Arial" w:eastAsia="Arial" w:hAnsi="Arial" w:cs="Arial"/>
          <w:b/>
          <w:i/>
          <w:sz w:val="28"/>
          <w:szCs w:val="28"/>
        </w:rPr>
        <w:t>Elective courses</w:t>
      </w:r>
      <w:r>
        <w:rPr>
          <w:rFonts w:ascii="Arial" w:eastAsia="Arial" w:hAnsi="Arial" w:cs="Arial"/>
          <w:i/>
        </w:rPr>
        <w:t xml:space="preserve"> </w:t>
      </w:r>
    </w:p>
    <w:p w14:paraId="0000006B" w14:textId="77777777" w:rsidR="00FC14A1" w:rsidRDefault="00000000">
      <w:pPr>
        <w:ind w:left="0" w:hanging="2"/>
        <w:rPr>
          <w:rFonts w:ascii="Arial" w:eastAsia="Arial" w:hAnsi="Arial" w:cs="Arial"/>
          <w:sz w:val="22"/>
          <w:szCs w:val="22"/>
        </w:rPr>
      </w:pPr>
      <w:r>
        <w:rPr>
          <w:rFonts w:ascii="Arial" w:eastAsia="Arial" w:hAnsi="Arial" w:cs="Arial"/>
        </w:rPr>
        <w:t>S</w:t>
      </w:r>
      <w:r>
        <w:rPr>
          <w:rFonts w:ascii="Arial" w:eastAsia="Arial" w:hAnsi="Arial" w:cs="Arial"/>
          <w:sz w:val="22"/>
          <w:szCs w:val="22"/>
        </w:rPr>
        <w:t xml:space="preserve">tudents are required to take an additional 6-8 credits worth of elective courses in a related, relevant field, including but not limited to cell and molecular biology, genetics, biochemistry, physiology, engineering, and mathematics. These elective courses are intended to increase the depth and/or breadth of the student's expertise in biomedical science and in areas pertinent to the student's dissertation research. </w:t>
      </w:r>
    </w:p>
    <w:p w14:paraId="0000006C" w14:textId="77777777" w:rsidR="00FC14A1" w:rsidRDefault="00FC14A1">
      <w:pPr>
        <w:ind w:left="0" w:hanging="2"/>
        <w:rPr>
          <w:rFonts w:ascii="Arial" w:eastAsia="Arial" w:hAnsi="Arial" w:cs="Arial"/>
          <w:sz w:val="22"/>
          <w:szCs w:val="22"/>
        </w:rPr>
      </w:pPr>
    </w:p>
    <w:p w14:paraId="0000006D"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Selection of these elective courses is made in conjunction with the student's research advisor and presented to the Graduate Committee as a written plan no later than one week prior to registration for the Fall semester of their second year.  NOTE:  Students and their mentors may propose that students take undergraduate courses that are NOT cross-listed at the graduate (500) level; these will count as 2 credits (only, each) and proposals MUST include specific provisions for objectively evaluating the students’ mastery of the material.  It is also possible for students’ elective plan to extend into students’ third academic year, e.g., to accommodate courses only offered on an every other year basis; this option MUST be justified in the written plan.  MSTP students are not required to take these non-BNB electives. </w:t>
      </w:r>
    </w:p>
    <w:p w14:paraId="0000006E" w14:textId="77777777" w:rsidR="00FC14A1" w:rsidRDefault="00FC14A1">
      <w:pPr>
        <w:ind w:left="0" w:hanging="2"/>
        <w:rPr>
          <w:rFonts w:ascii="Arial" w:eastAsia="Arial" w:hAnsi="Arial" w:cs="Arial"/>
          <w:sz w:val="22"/>
          <w:szCs w:val="22"/>
        </w:rPr>
      </w:pPr>
    </w:p>
    <w:p w14:paraId="0000006F" w14:textId="77777777" w:rsidR="00FC14A1" w:rsidRDefault="00000000">
      <w:pPr>
        <w:ind w:left="0" w:hanging="2"/>
        <w:rPr>
          <w:rFonts w:ascii="Arial" w:eastAsia="Arial" w:hAnsi="Arial" w:cs="Arial"/>
          <w:sz w:val="22"/>
          <w:szCs w:val="22"/>
        </w:rPr>
      </w:pPr>
      <w:r>
        <w:rPr>
          <w:rFonts w:ascii="Arial" w:eastAsia="Arial" w:hAnsi="Arial" w:cs="Arial"/>
          <w:b/>
          <w:sz w:val="22"/>
          <w:szCs w:val="22"/>
        </w:rPr>
        <w:t>2. TEACHING RESPONSIBILITIES</w:t>
      </w:r>
      <w:r>
        <w:rPr>
          <w:rFonts w:ascii="Arial" w:eastAsia="Arial" w:hAnsi="Arial" w:cs="Arial"/>
          <w:sz w:val="22"/>
          <w:szCs w:val="22"/>
        </w:rPr>
        <w:t xml:space="preserve"> </w:t>
      </w:r>
    </w:p>
    <w:p w14:paraId="00000070"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All graduate students serve as Teaching Assistants for two semesters. Normally, this service will be in the second semester of the first year and the first semester of the second year. The PhD Program views the TA requirement as providing a valuable opportunity to gain teaching experience, and expects students to take on these obligations with appropriate levels of seriousness and responsibility. A grade of S (satisfactory) or U (unsatisfactory) will be assigned for each semester of TA service in either BIO 600 or BIO 601. Any student receiving a grade of U will be reassigned to that class the next time it is offered to make up this deficiency. A grade of U in TA service may also be taken into consideration in determining adequacy of academic progress. Students supported by federal training grants (e.g. T32 from NIH or equivalent from another federal agency) may defer their Teaching Assistantship duties to later semesters or substitute one semester of TA duties with hands-on training and tutoring of junior laboratory members. </w:t>
      </w:r>
    </w:p>
    <w:p w14:paraId="00000071" w14:textId="77777777" w:rsidR="00FC14A1" w:rsidRDefault="00FC14A1">
      <w:pPr>
        <w:ind w:left="0" w:hanging="2"/>
        <w:rPr>
          <w:rFonts w:ascii="Arial" w:eastAsia="Arial" w:hAnsi="Arial" w:cs="Arial"/>
          <w:sz w:val="22"/>
          <w:szCs w:val="22"/>
        </w:rPr>
      </w:pPr>
    </w:p>
    <w:p w14:paraId="00000072"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3. ACADEMIC STANDING: YEARS 1 and 2 </w:t>
      </w:r>
    </w:p>
    <w:p w14:paraId="00000073"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Grades recognized by the Graduate School are A, B, C, or F; with the exception of A+, plus and minus grades are also recognized for these letter grades. Courses taken with a pass/fail option are graded as either S (satisfactory) or U (unsatisfactory). </w:t>
      </w:r>
    </w:p>
    <w:p w14:paraId="00000074" w14:textId="77777777" w:rsidR="00FC14A1" w:rsidRDefault="00000000">
      <w:pPr>
        <w:ind w:left="0" w:hanging="2"/>
        <w:rPr>
          <w:rFonts w:ascii="Arial" w:eastAsia="Arial" w:hAnsi="Arial" w:cs="Arial"/>
          <w:sz w:val="22"/>
          <w:szCs w:val="22"/>
        </w:rPr>
      </w:pPr>
      <w:r>
        <w:rPr>
          <w:rFonts w:ascii="Arial" w:eastAsia="Arial" w:hAnsi="Arial" w:cs="Arial"/>
          <w:sz w:val="22"/>
          <w:szCs w:val="22"/>
        </w:rPr>
        <w:lastRenderedPageBreak/>
        <w:t>Good standing in the PhD Program requires that students</w:t>
      </w:r>
      <w:r>
        <w:rPr>
          <w:rFonts w:ascii="Noto Sans Symbols" w:eastAsia="Noto Sans Symbols" w:hAnsi="Noto Sans Symbols" w:cs="Noto Sans Symbols"/>
          <w:sz w:val="22"/>
          <w:szCs w:val="22"/>
        </w:rPr>
        <w:t xml:space="preserve"> </w:t>
      </w:r>
      <w:r>
        <w:rPr>
          <w:rFonts w:ascii="Arial" w:eastAsia="Arial" w:hAnsi="Arial" w:cs="Arial"/>
          <w:sz w:val="22"/>
          <w:szCs w:val="22"/>
        </w:rPr>
        <w:t>maintain a minimum GPA of 3.0 (B) or better</w:t>
      </w:r>
      <w:r>
        <w:rPr>
          <w:rFonts w:ascii="Noto Sans Symbols" w:eastAsia="Noto Sans Symbols" w:hAnsi="Noto Sans Symbols" w:cs="Noto Sans Symbols"/>
          <w:sz w:val="22"/>
          <w:szCs w:val="22"/>
        </w:rPr>
        <w:t xml:space="preserve">, </w:t>
      </w:r>
      <w:r>
        <w:rPr>
          <w:rFonts w:ascii="Arial" w:eastAsia="Arial" w:hAnsi="Arial" w:cs="Arial"/>
          <w:sz w:val="22"/>
          <w:szCs w:val="22"/>
        </w:rPr>
        <w:t>receive grades of B or better in all required Neuroscience courses,</w:t>
      </w:r>
      <w:r>
        <w:rPr>
          <w:rFonts w:ascii="Noto Sans Symbols" w:eastAsia="Noto Sans Symbols" w:hAnsi="Noto Sans Symbols" w:cs="Noto Sans Symbols"/>
          <w:sz w:val="22"/>
          <w:szCs w:val="22"/>
        </w:rPr>
        <w:t xml:space="preserve"> </w:t>
      </w:r>
      <w:r>
        <w:rPr>
          <w:rFonts w:ascii="Arial" w:eastAsia="Arial" w:hAnsi="Arial" w:cs="Arial"/>
          <w:sz w:val="22"/>
          <w:szCs w:val="22"/>
        </w:rPr>
        <w:t>receive grades of S for all semesters of TA service, and for all S/U graded Neuroscience courses.</w:t>
      </w:r>
      <w:r>
        <w:rPr>
          <w:rFonts w:ascii="Noto Sans Symbols" w:eastAsia="Noto Sans Symbols" w:hAnsi="Noto Sans Symbols" w:cs="Noto Sans Symbols"/>
          <w:sz w:val="22"/>
          <w:szCs w:val="22"/>
        </w:rPr>
        <w:t xml:space="preserve"> </w:t>
      </w:r>
    </w:p>
    <w:p w14:paraId="00000075" w14:textId="77777777" w:rsidR="00FC14A1" w:rsidRDefault="00000000">
      <w:pPr>
        <w:widowControl w:val="0"/>
        <w:spacing w:line="240" w:lineRule="auto"/>
        <w:ind w:left="0" w:hanging="2"/>
        <w:rPr>
          <w:rFonts w:ascii="Arial" w:eastAsia="Arial" w:hAnsi="Arial" w:cs="Arial"/>
          <w:sz w:val="22"/>
          <w:szCs w:val="22"/>
        </w:rPr>
      </w:pPr>
      <w:r>
        <w:rPr>
          <w:rFonts w:ascii="Arial" w:eastAsia="Arial" w:hAnsi="Arial" w:cs="Arial"/>
          <w:sz w:val="22"/>
          <w:szCs w:val="22"/>
        </w:rPr>
        <w:t xml:space="preserve">Any student with a cumulative GPA falling below the minimum 3.0 will be placed on Academic Probation by the Graduate School; after two consecutive semesters on Academic Probation, the Graduate School will instruct the Program’s Graduate Committee to withdraw support for the student. Although extenuating circumstances may be considered, remaining on Academic Probation for two consecutive semesters will likely result in dismissal from the Program. </w:t>
      </w:r>
    </w:p>
    <w:p w14:paraId="00000076" w14:textId="77777777" w:rsidR="00FC14A1" w:rsidRDefault="00FC14A1">
      <w:pPr>
        <w:ind w:left="0" w:hanging="2"/>
        <w:rPr>
          <w:rFonts w:ascii="Arial" w:eastAsia="Arial" w:hAnsi="Arial" w:cs="Arial"/>
          <w:sz w:val="22"/>
          <w:szCs w:val="22"/>
        </w:rPr>
      </w:pPr>
    </w:p>
    <w:p w14:paraId="00000077"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Any student failing to obtain a grade of B or better in a required Neuroscience course must retake that course </w:t>
      </w:r>
      <w:r>
        <w:rPr>
          <w:rFonts w:ascii="Arial" w:eastAsia="Arial" w:hAnsi="Arial" w:cs="Arial"/>
          <w:i/>
          <w:sz w:val="22"/>
          <w:szCs w:val="22"/>
        </w:rPr>
        <w:t>the next semester it is offered</w:t>
      </w:r>
      <w:r>
        <w:rPr>
          <w:rFonts w:ascii="Arial" w:eastAsia="Arial" w:hAnsi="Arial" w:cs="Arial"/>
          <w:sz w:val="22"/>
          <w:szCs w:val="22"/>
        </w:rPr>
        <w:t>. Failure to achieve a grade of B or better in that course a second time will be considered grounds for dismissal from the Program.</w:t>
      </w:r>
    </w:p>
    <w:p w14:paraId="00000078"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Any student failing to obtain a passing grade (B or better, or Satisfactory) in </w:t>
      </w:r>
      <w:r>
        <w:rPr>
          <w:rFonts w:ascii="Arial" w:eastAsia="Arial" w:hAnsi="Arial" w:cs="Arial"/>
          <w:b/>
          <w:sz w:val="22"/>
          <w:szCs w:val="22"/>
        </w:rPr>
        <w:t xml:space="preserve">more than one </w:t>
      </w:r>
      <w:r>
        <w:rPr>
          <w:rFonts w:ascii="Arial" w:eastAsia="Arial" w:hAnsi="Arial" w:cs="Arial"/>
          <w:sz w:val="22"/>
          <w:szCs w:val="22"/>
        </w:rPr>
        <w:t xml:space="preserve">required neuroscience course will be reviewed by the Graduate Committee for possible dismissal from the Program. If the Graduate Committee determines that the student may continue, the student will be required to retake each course in which a passing grade was not achieved </w:t>
      </w:r>
      <w:r>
        <w:rPr>
          <w:rFonts w:ascii="Arial" w:eastAsia="Arial" w:hAnsi="Arial" w:cs="Arial"/>
          <w:i/>
          <w:sz w:val="22"/>
          <w:szCs w:val="22"/>
        </w:rPr>
        <w:t>the next semester that the courses are given</w:t>
      </w:r>
      <w:r>
        <w:rPr>
          <w:rFonts w:ascii="Arial" w:eastAsia="Arial" w:hAnsi="Arial" w:cs="Arial"/>
          <w:sz w:val="22"/>
          <w:szCs w:val="22"/>
        </w:rPr>
        <w:t>. Failure to achieve a passing grade in any course taken for a second time will be considered grounds for dismissal from the Program.</w:t>
      </w:r>
    </w:p>
    <w:p w14:paraId="00000079" w14:textId="77777777" w:rsidR="00FC14A1" w:rsidRDefault="00FC14A1">
      <w:pPr>
        <w:ind w:left="0" w:hanging="2"/>
        <w:rPr>
          <w:rFonts w:ascii="Arial" w:eastAsia="Arial" w:hAnsi="Arial" w:cs="Arial"/>
          <w:sz w:val="22"/>
          <w:szCs w:val="22"/>
        </w:rPr>
      </w:pPr>
    </w:p>
    <w:p w14:paraId="0000007A" w14:textId="77777777" w:rsidR="00FC14A1" w:rsidRDefault="00000000">
      <w:pPr>
        <w:ind w:left="0" w:hanging="2"/>
        <w:rPr>
          <w:rFonts w:ascii="Arial" w:eastAsia="Arial" w:hAnsi="Arial" w:cs="Arial"/>
          <w:sz w:val="22"/>
          <w:szCs w:val="22"/>
        </w:rPr>
      </w:pPr>
      <w:r>
        <w:rPr>
          <w:rFonts w:ascii="Arial" w:eastAsia="Arial" w:hAnsi="Arial" w:cs="Arial"/>
          <w:sz w:val="22"/>
          <w:szCs w:val="22"/>
        </w:rPr>
        <w:t>At the end of each of the 3 laboratory rotations in the first year, the Graduate Committee will review feedback from mentors, rotation supervisors, and course directors for each PhD student and communicate the results to the student. Students who appear possibly unsuited to the Program will be so warned at this time. At the end of the spring semester of the first year, a determination will be made, based on grades and performance in courses and rotations, as to whether the students are likely to be successful in the next year’s coursework, and whether they would be recommended for admission to a laboratory. Students whose performance is judged to be inadequate by the Graduate Committee will be dismissed from the Program at this point.</w:t>
      </w:r>
    </w:p>
    <w:p w14:paraId="0000007B" w14:textId="77777777" w:rsidR="00FC14A1" w:rsidRDefault="00FC14A1">
      <w:pPr>
        <w:ind w:left="0" w:hanging="2"/>
        <w:rPr>
          <w:rFonts w:ascii="Arial" w:eastAsia="Arial" w:hAnsi="Arial" w:cs="Arial"/>
          <w:sz w:val="22"/>
          <w:szCs w:val="22"/>
        </w:rPr>
      </w:pPr>
    </w:p>
    <w:p w14:paraId="0000007C" w14:textId="77777777" w:rsidR="00FC14A1" w:rsidRDefault="00000000">
      <w:pPr>
        <w:ind w:left="0" w:hanging="2"/>
        <w:rPr>
          <w:rFonts w:ascii="Arial" w:eastAsia="Arial" w:hAnsi="Arial" w:cs="Arial"/>
          <w:sz w:val="22"/>
          <w:szCs w:val="22"/>
        </w:rPr>
      </w:pPr>
      <w:r>
        <w:rPr>
          <w:rFonts w:ascii="Arial" w:eastAsia="Arial" w:hAnsi="Arial" w:cs="Arial"/>
          <w:sz w:val="22"/>
          <w:szCs w:val="22"/>
        </w:rPr>
        <w:t>The Graduate Committee will send to each student a letter of evaluation summarizing the first year experience, including classroom performance, evaluations from TA supervisors, and performance in the research laboratory. Students must acknowledge receipt of the evaluation by signing and returning a copy of the letter to the Graduate Committee. Copies of letters are sent to the research advisor (if applicable) and to the Graduate School. Students who leave the Program after the first year, whether voluntarily or by dismissal, are NOT automatically eligible for a terminal master's degree.</w:t>
      </w:r>
    </w:p>
    <w:p w14:paraId="0000007D" w14:textId="77777777" w:rsidR="00FC14A1" w:rsidRDefault="00FC14A1">
      <w:pPr>
        <w:ind w:left="0" w:hanging="2"/>
        <w:rPr>
          <w:rFonts w:ascii="Arial" w:eastAsia="Arial" w:hAnsi="Arial" w:cs="Arial"/>
          <w:sz w:val="22"/>
          <w:szCs w:val="22"/>
        </w:rPr>
      </w:pPr>
    </w:p>
    <w:p w14:paraId="0000007E" w14:textId="77777777" w:rsidR="00FC14A1" w:rsidRDefault="00000000">
      <w:pPr>
        <w:ind w:left="0" w:hanging="2"/>
        <w:rPr>
          <w:rFonts w:ascii="Arial" w:eastAsia="Arial" w:hAnsi="Arial" w:cs="Arial"/>
          <w:sz w:val="22"/>
          <w:szCs w:val="22"/>
        </w:rPr>
      </w:pPr>
      <w:r>
        <w:rPr>
          <w:rFonts w:ascii="Arial" w:eastAsia="Arial" w:hAnsi="Arial" w:cs="Arial"/>
          <w:sz w:val="22"/>
          <w:szCs w:val="22"/>
        </w:rPr>
        <w:t>At the end of the first year in the program, while they transition to a home laboratory, students will draft their Individual Development Plan (IDP) and discuss it with their thesis adviser. Additional agreements that include specific expectations from mentees and mentors, frequency of one-on-one meetings, a preliminary timeline and strategies for the resolution of potential professional conflicts may also be prepared at this time. The IDPs will be shared with the Program Director and the Program Committee and will be updated on a yearly basis. The Mentor/Mentee agreement document may also be shared with the Program Committee and is expected to be updated as needed.</w:t>
      </w:r>
    </w:p>
    <w:p w14:paraId="0000007F" w14:textId="77777777" w:rsidR="00FC14A1" w:rsidRDefault="00FC14A1">
      <w:pPr>
        <w:ind w:left="0" w:hanging="2"/>
        <w:rPr>
          <w:rFonts w:ascii="Arial" w:eastAsia="Arial" w:hAnsi="Arial" w:cs="Arial"/>
          <w:sz w:val="22"/>
          <w:szCs w:val="22"/>
        </w:rPr>
      </w:pPr>
    </w:p>
    <w:p w14:paraId="00000080"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4. ADVANCEMENT TO CANDIDACY. </w:t>
      </w:r>
    </w:p>
    <w:p w14:paraId="00000081"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Students will recruit their thesis committee in consultation with their mentors and produce a thesis proposal to be defended as their qualifying exam in the summer of their second year. Successful performance in the Thesis Proposal, evaluations, and academic requirements (grades in class work and modules) will be necessary for their advancement to PhD candidacy. </w:t>
      </w:r>
      <w:r>
        <w:rPr>
          <w:rFonts w:ascii="Arial" w:eastAsia="Arial" w:hAnsi="Arial" w:cs="Arial"/>
          <w:sz w:val="22"/>
          <w:szCs w:val="22"/>
          <w:u w:val="single"/>
        </w:rPr>
        <w:t>Students not advancing to candidacy by the start of their third year will be reviewed by the Graduate Committee and will be considered for dismissal from the Program.</w:t>
      </w:r>
      <w:r>
        <w:rPr>
          <w:rFonts w:ascii="Arial" w:eastAsia="Arial" w:hAnsi="Arial" w:cs="Arial"/>
          <w:sz w:val="22"/>
          <w:szCs w:val="22"/>
        </w:rPr>
        <w:t xml:space="preserve"> Extenuating circumstances will be discussed with the student and student’s mentor and a roadmap for scheduling an alternative date for the qualifying exam and advancement to candidacy will be agreed upon by all parties. Failure to comply with the roadmap will result in dismissal from the program.</w:t>
      </w:r>
    </w:p>
    <w:p w14:paraId="00000082" w14:textId="77777777" w:rsidR="00FC14A1" w:rsidRDefault="00FC14A1">
      <w:pPr>
        <w:ind w:left="0" w:hanging="2"/>
        <w:rPr>
          <w:rFonts w:ascii="Arial" w:eastAsia="Arial" w:hAnsi="Arial" w:cs="Arial"/>
          <w:sz w:val="22"/>
          <w:szCs w:val="22"/>
        </w:rPr>
      </w:pPr>
    </w:p>
    <w:p w14:paraId="00000083"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Students who have joined </w:t>
      </w:r>
      <w:r>
        <w:rPr>
          <w:rFonts w:ascii="Arial" w:eastAsia="Arial" w:hAnsi="Arial" w:cs="Arial"/>
          <w:b/>
          <w:sz w:val="22"/>
          <w:szCs w:val="22"/>
        </w:rPr>
        <w:t>off campus</w:t>
      </w:r>
      <w:r>
        <w:rPr>
          <w:rFonts w:ascii="Arial" w:eastAsia="Arial" w:hAnsi="Arial" w:cs="Arial"/>
          <w:sz w:val="22"/>
          <w:szCs w:val="22"/>
        </w:rPr>
        <w:t xml:space="preserve"> laboratories for their thesis work will be required to comply with program milestones and with the expected schedule for advancement to candidacy. Lack of compliance will need to be discussed by the Program Committee. A remediation plan will need to be put in place. Failure to comply with the remediation plan will result in the student’s dismissal from the program and in probation to the faculty mentor, who will not be allowed to accept a student from the Program in their laboratory for rotations or thesis work for 1 year. Repeated (2 times) lack of compliance will result in dismissal of the faculty from the Program (see Program Faculty section below).</w:t>
      </w:r>
    </w:p>
    <w:p w14:paraId="00000084" w14:textId="77777777" w:rsidR="00FC14A1" w:rsidRDefault="00FC14A1">
      <w:pPr>
        <w:ind w:left="0" w:hanging="2"/>
        <w:rPr>
          <w:rFonts w:ascii="Arial" w:eastAsia="Arial" w:hAnsi="Arial" w:cs="Arial"/>
          <w:sz w:val="22"/>
          <w:szCs w:val="22"/>
        </w:rPr>
      </w:pPr>
    </w:p>
    <w:p w14:paraId="00000085"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w:t>
      </w:r>
      <w:r>
        <w:rPr>
          <w:rFonts w:ascii="Arial" w:eastAsia="Arial" w:hAnsi="Arial" w:cs="Arial"/>
          <w:b/>
          <w:sz w:val="22"/>
          <w:szCs w:val="22"/>
        </w:rPr>
        <w:t xml:space="preserve">Thesis Proposal </w:t>
      </w:r>
      <w:r>
        <w:rPr>
          <w:rFonts w:ascii="Arial" w:eastAsia="Arial" w:hAnsi="Arial" w:cs="Arial"/>
          <w:sz w:val="22"/>
          <w:szCs w:val="22"/>
        </w:rPr>
        <w:t>will be carried out in the Spring/Summer of the second year and will be in the area and on the topic in which the student expects to do their thesis research.  The thesis proposal will follow the organization of the Research Strategy section of an NIH fellowship proposal: 1 page for specific aims and up to 6 pages for the description of the research plan. The Proposal should be the student’s best attempt to describe an actual set of experiments that they may do for their thesis research, but because the Proposal occurs very early in the course of their research, neither a comprehensive dataset nor a near guarantee of success is required for a successful defense. Should later events require a change in projects, students will not be penalized in any way for this. The general area and some specific aims may be suggested by the supervisor, who may also provide advice and feedback on an early stage outline, but the final written product should be the student’s own independent work. The advisor will be asked to write a covering note summarizing the extent of her/his input.</w:t>
      </w:r>
    </w:p>
    <w:p w14:paraId="00000086" w14:textId="77777777" w:rsidR="00FC14A1" w:rsidRDefault="00FC14A1">
      <w:pPr>
        <w:ind w:left="0" w:hanging="2"/>
        <w:rPr>
          <w:rFonts w:ascii="Arial" w:eastAsia="Arial" w:hAnsi="Arial" w:cs="Arial"/>
          <w:sz w:val="22"/>
          <w:szCs w:val="22"/>
        </w:rPr>
      </w:pPr>
    </w:p>
    <w:p w14:paraId="00000087" w14:textId="77777777" w:rsidR="00FC14A1" w:rsidRDefault="00000000">
      <w:pPr>
        <w:ind w:left="0" w:hanging="2"/>
        <w:rPr>
          <w:rFonts w:ascii="Arial" w:eastAsia="Arial" w:hAnsi="Arial" w:cs="Arial"/>
          <w:sz w:val="22"/>
          <w:szCs w:val="22"/>
        </w:rPr>
      </w:pPr>
      <w:r>
        <w:rPr>
          <w:rFonts w:ascii="Arial" w:eastAsia="Arial" w:hAnsi="Arial" w:cs="Arial"/>
          <w:sz w:val="22"/>
          <w:szCs w:val="22"/>
        </w:rPr>
        <w:t>The purpose of the Proposal is to demonstrate the student’s ability to evaluate the current state of knowledge in a specific area, to identify critical questions, and creatively and rigorously to formulate and test hypotheses. Proposals will be evaluated by these criteria, rather than on the quantity of preliminary data (which may be limited) or the proven feasibility of the experiments (though the committee may offer constructive help on the latter issue). The proposal includes two parts: (</w:t>
      </w:r>
      <w:proofErr w:type="spellStart"/>
      <w:r>
        <w:rPr>
          <w:rFonts w:ascii="Arial" w:eastAsia="Arial" w:hAnsi="Arial" w:cs="Arial"/>
          <w:sz w:val="22"/>
          <w:szCs w:val="22"/>
        </w:rPr>
        <w:t>i</w:t>
      </w:r>
      <w:proofErr w:type="spellEnd"/>
      <w:r>
        <w:rPr>
          <w:rFonts w:ascii="Arial" w:eastAsia="Arial" w:hAnsi="Arial" w:cs="Arial"/>
          <w:sz w:val="22"/>
          <w:szCs w:val="22"/>
        </w:rPr>
        <w:t>) a written submission and (ii) a short oral presentation. A more detailed description of these components is given in another document (Outline of the Thesis Proposal). Both parts will be evaluated by the initial thesis committee.</w:t>
      </w:r>
    </w:p>
    <w:p w14:paraId="00000088" w14:textId="77777777" w:rsidR="00FC14A1" w:rsidRDefault="00FC14A1">
      <w:pPr>
        <w:ind w:left="0" w:hanging="2"/>
        <w:rPr>
          <w:rFonts w:ascii="Arial" w:eastAsia="Arial" w:hAnsi="Arial" w:cs="Arial"/>
          <w:sz w:val="22"/>
          <w:szCs w:val="22"/>
        </w:rPr>
      </w:pPr>
    </w:p>
    <w:p w14:paraId="00000089"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Initial Thesis Committee: </w:t>
      </w:r>
      <w:r>
        <w:rPr>
          <w:rFonts w:ascii="Arial" w:eastAsia="Arial" w:hAnsi="Arial" w:cs="Arial"/>
          <w:sz w:val="22"/>
          <w:szCs w:val="22"/>
        </w:rPr>
        <w:t xml:space="preserve">In consultation with the advisor, students should choose an initial thesis committee to evaluate the Proposal. This should include the advisor and at least two other faculty members of the Graduate Program in Neuroscience (advisor + 2), one of whom will act as chair. If the student’s research later changes focus, the </w:t>
      </w:r>
      <w:r>
        <w:rPr>
          <w:rFonts w:ascii="Arial" w:eastAsia="Arial" w:hAnsi="Arial" w:cs="Arial"/>
          <w:sz w:val="22"/>
          <w:szCs w:val="22"/>
        </w:rPr>
        <w:lastRenderedPageBreak/>
        <w:t>composition of the committee may expand or change. In general, the initial thesis committee will form the basis of the student’s dissertation committee (see below). An Outside committee member (i.e., outside the Graduate Program in Neuroscience) does NOT have to be selected for the Thesis Proposal presentation. However, we encourage the student to select and recruit an Outside Member as soon as possible thereafter as this will help guarantee the quality of the science and speed up progress. Because a successful Thesis Proposal is required for advancement to candidacy, at least one member of the Graduate Program Committee will also attend the presentation, unless the initial committee already includes a Graduate Committee member. This individual will be assigned by the Graduate Committee based on their familiarity with the area of the Proposal. They will attend only the oral presentation, not subsequent thesis committee meetings (unless they are also a member of the dissertation committee).</w:t>
      </w:r>
    </w:p>
    <w:p w14:paraId="0000008A" w14:textId="77777777" w:rsidR="00FC14A1" w:rsidRDefault="00000000">
      <w:pPr>
        <w:ind w:left="0" w:hanging="2"/>
        <w:rPr>
          <w:rFonts w:ascii="Arial" w:eastAsia="Arial" w:hAnsi="Arial" w:cs="Arial"/>
          <w:sz w:val="22"/>
          <w:szCs w:val="22"/>
        </w:rPr>
      </w:pPr>
      <w:r>
        <w:rPr>
          <w:rFonts w:ascii="Arial" w:eastAsia="Arial" w:hAnsi="Arial" w:cs="Arial"/>
          <w:sz w:val="22"/>
          <w:szCs w:val="22"/>
        </w:rPr>
        <w:t>Students performing their PhD thesis work off campus will be required to include at least one member of the Program Committee in their Thesis Committee. This is necessary to ensure compliance with Program requirements and guidelines.</w:t>
      </w:r>
    </w:p>
    <w:p w14:paraId="0000008B" w14:textId="77777777" w:rsidR="00FC14A1" w:rsidRDefault="00FC14A1">
      <w:pPr>
        <w:ind w:left="0" w:hanging="2"/>
        <w:rPr>
          <w:rFonts w:ascii="Arial" w:eastAsia="Arial" w:hAnsi="Arial" w:cs="Arial"/>
          <w:sz w:val="22"/>
          <w:szCs w:val="22"/>
        </w:rPr>
      </w:pPr>
    </w:p>
    <w:p w14:paraId="0000008C"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All students who are in good academic standing and have passed the Thesis Proposal, will be advanced to candidacy, and will begin the research-intensive portion of their graduate training. Students may continue to take elective courses after they have been advanced to candidacy. Students may enroll, without a tuition liability, in elective courses after advancing to candidacy if the course material is directly relevant to the student's research project or if they successfully apply to Advanced Certificate Programs related to their thesis work offered by Stony Brook University (e.g. Scholars in </w:t>
      </w:r>
      <w:proofErr w:type="spellStart"/>
      <w:r>
        <w:rPr>
          <w:rFonts w:ascii="Arial" w:eastAsia="Arial" w:hAnsi="Arial" w:cs="Arial"/>
          <w:sz w:val="22"/>
          <w:szCs w:val="22"/>
        </w:rPr>
        <w:t>BioMedical</w:t>
      </w:r>
      <w:proofErr w:type="spellEnd"/>
      <w:r>
        <w:rPr>
          <w:rFonts w:ascii="Arial" w:eastAsia="Arial" w:hAnsi="Arial" w:cs="Arial"/>
          <w:sz w:val="22"/>
          <w:szCs w:val="22"/>
        </w:rPr>
        <w:t xml:space="preserve"> Science; Institute for Advanced Computational Science; Life Science Innovation and Entrepreneurship; Science Communication). If necessary, the relevance will be determined by the Graduate Committee and the student's research advisor. </w:t>
      </w:r>
    </w:p>
    <w:p w14:paraId="0000008D" w14:textId="77777777" w:rsidR="00FC14A1" w:rsidRDefault="00FC14A1">
      <w:pPr>
        <w:ind w:left="0" w:hanging="2"/>
        <w:rPr>
          <w:rFonts w:ascii="Arial" w:eastAsia="Arial" w:hAnsi="Arial" w:cs="Arial"/>
          <w:sz w:val="22"/>
          <w:szCs w:val="22"/>
        </w:rPr>
      </w:pPr>
    </w:p>
    <w:p w14:paraId="0000008E" w14:textId="77777777" w:rsidR="00FC14A1" w:rsidRDefault="00000000">
      <w:pPr>
        <w:ind w:left="1" w:hanging="3"/>
        <w:rPr>
          <w:rFonts w:ascii="Arial" w:eastAsia="Arial" w:hAnsi="Arial" w:cs="Arial"/>
          <w:sz w:val="28"/>
          <w:szCs w:val="28"/>
        </w:rPr>
      </w:pPr>
      <w:r>
        <w:rPr>
          <w:rFonts w:ascii="Arial" w:eastAsia="Arial" w:hAnsi="Arial" w:cs="Arial"/>
          <w:b/>
          <w:sz w:val="28"/>
          <w:szCs w:val="28"/>
        </w:rPr>
        <w:t>PHASE II: FOCUS ON RESEARCH</w:t>
      </w:r>
      <w:r>
        <w:rPr>
          <w:rFonts w:ascii="Arial" w:eastAsia="Arial" w:hAnsi="Arial" w:cs="Arial"/>
          <w:sz w:val="28"/>
          <w:szCs w:val="28"/>
        </w:rPr>
        <w:t>.</w:t>
      </w:r>
    </w:p>
    <w:p w14:paraId="0000008F" w14:textId="77777777" w:rsidR="00FC14A1" w:rsidRDefault="00000000">
      <w:pPr>
        <w:ind w:left="0" w:hanging="2"/>
        <w:rPr>
          <w:rFonts w:ascii="Arial" w:eastAsia="Arial" w:hAnsi="Arial" w:cs="Arial"/>
          <w:sz w:val="22"/>
          <w:szCs w:val="22"/>
        </w:rPr>
      </w:pPr>
      <w:r>
        <w:rPr>
          <w:rFonts w:ascii="Arial" w:eastAsia="Arial" w:hAnsi="Arial" w:cs="Arial"/>
          <w:sz w:val="22"/>
          <w:szCs w:val="22"/>
        </w:rPr>
        <w:t>Students are encouraged and assisted from the outset to identify areas of research interest, based largely on lab rotations in the first academic year. Students will select a dissertation advisor and laboratory by the conclusion of the spring term of the first academic year. The supporting faculty must be a member in good standing in the Graduate Program in Neuroscience. All decisions, including decisions to change labs at later dates, are subject to approval by the Graduate Committee.</w:t>
      </w:r>
    </w:p>
    <w:p w14:paraId="00000090" w14:textId="77777777" w:rsidR="00FC14A1" w:rsidRDefault="00FC14A1">
      <w:pPr>
        <w:ind w:left="0" w:hanging="2"/>
        <w:rPr>
          <w:rFonts w:ascii="Arial" w:eastAsia="Arial" w:hAnsi="Arial" w:cs="Arial"/>
          <w:sz w:val="22"/>
          <w:szCs w:val="22"/>
        </w:rPr>
      </w:pPr>
    </w:p>
    <w:p w14:paraId="00000091" w14:textId="77777777" w:rsidR="00FC14A1" w:rsidRDefault="00000000">
      <w:pPr>
        <w:ind w:left="0" w:hanging="2"/>
        <w:rPr>
          <w:rFonts w:ascii="Arial" w:eastAsia="Arial" w:hAnsi="Arial" w:cs="Arial"/>
          <w:sz w:val="22"/>
          <w:szCs w:val="22"/>
        </w:rPr>
      </w:pPr>
      <w:r>
        <w:rPr>
          <w:rFonts w:ascii="Arial" w:eastAsia="Arial" w:hAnsi="Arial" w:cs="Arial"/>
          <w:b/>
          <w:sz w:val="22"/>
          <w:szCs w:val="22"/>
        </w:rPr>
        <w:t>1. DISSERTATION COMMITTEE</w:t>
      </w:r>
      <w:r>
        <w:rPr>
          <w:rFonts w:ascii="Arial" w:eastAsia="Arial" w:hAnsi="Arial" w:cs="Arial"/>
          <w:sz w:val="22"/>
          <w:szCs w:val="22"/>
        </w:rPr>
        <w:t xml:space="preserve"> </w:t>
      </w:r>
    </w:p>
    <w:p w14:paraId="00000092"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dissertation committee composition will normally be based on the initial thesis committee. A final committee will consist of </w:t>
      </w:r>
      <w:r>
        <w:rPr>
          <w:rFonts w:ascii="Arial" w:eastAsia="Arial" w:hAnsi="Arial" w:cs="Arial"/>
          <w:b/>
          <w:sz w:val="22"/>
          <w:szCs w:val="22"/>
        </w:rPr>
        <w:t xml:space="preserve">four members, </w:t>
      </w:r>
      <w:r>
        <w:rPr>
          <w:rFonts w:ascii="Arial" w:eastAsia="Arial" w:hAnsi="Arial" w:cs="Arial"/>
          <w:sz w:val="22"/>
          <w:szCs w:val="22"/>
        </w:rPr>
        <w:t xml:space="preserve">including the student's mentor, two additional Program members, and one additional member from outside the Program (advisor + 2 + outside), though the outside member does not have to be selected immediately. The committee will select a chair, who must be a Program faculty member of associate professor rank or higher who is </w:t>
      </w:r>
      <w:r>
        <w:rPr>
          <w:rFonts w:ascii="Arial" w:eastAsia="Arial" w:hAnsi="Arial" w:cs="Arial"/>
          <w:b/>
          <w:sz w:val="22"/>
          <w:szCs w:val="22"/>
        </w:rPr>
        <w:t xml:space="preserve">not </w:t>
      </w:r>
      <w:r>
        <w:rPr>
          <w:rFonts w:ascii="Arial" w:eastAsia="Arial" w:hAnsi="Arial" w:cs="Arial"/>
          <w:sz w:val="22"/>
          <w:szCs w:val="22"/>
        </w:rPr>
        <w:t xml:space="preserve">the student’s mentor. Students are encouraged to have more members than those minimally required. Students performing their thesis work </w:t>
      </w:r>
      <w:r>
        <w:rPr>
          <w:rFonts w:ascii="Arial" w:eastAsia="Arial" w:hAnsi="Arial" w:cs="Arial"/>
          <w:b/>
          <w:sz w:val="22"/>
          <w:szCs w:val="22"/>
        </w:rPr>
        <w:t>off campus</w:t>
      </w:r>
      <w:r>
        <w:rPr>
          <w:rFonts w:ascii="Arial" w:eastAsia="Arial" w:hAnsi="Arial" w:cs="Arial"/>
          <w:sz w:val="22"/>
          <w:szCs w:val="22"/>
        </w:rPr>
        <w:t xml:space="preserve"> are required to include a committee member from the Program Committee.</w:t>
      </w:r>
    </w:p>
    <w:p w14:paraId="00000093" w14:textId="77777777" w:rsidR="00FC14A1" w:rsidRDefault="00FC14A1">
      <w:pPr>
        <w:ind w:left="0" w:hanging="2"/>
        <w:rPr>
          <w:rFonts w:ascii="Arial" w:eastAsia="Arial" w:hAnsi="Arial" w:cs="Arial"/>
          <w:sz w:val="22"/>
          <w:szCs w:val="22"/>
        </w:rPr>
      </w:pPr>
    </w:p>
    <w:p w14:paraId="00000094" w14:textId="77777777" w:rsidR="00FC14A1" w:rsidRDefault="00000000">
      <w:pPr>
        <w:ind w:left="0" w:hanging="2"/>
        <w:rPr>
          <w:rFonts w:ascii="Arial" w:eastAsia="Arial" w:hAnsi="Arial" w:cs="Arial"/>
          <w:sz w:val="22"/>
          <w:szCs w:val="22"/>
        </w:rPr>
      </w:pPr>
      <w:r>
        <w:rPr>
          <w:rFonts w:ascii="Arial" w:eastAsia="Arial" w:hAnsi="Arial" w:cs="Arial"/>
          <w:b/>
          <w:sz w:val="22"/>
          <w:szCs w:val="22"/>
        </w:rPr>
        <w:t>Outside Member</w:t>
      </w:r>
      <w:r>
        <w:rPr>
          <w:rFonts w:ascii="Arial" w:eastAsia="Arial" w:hAnsi="Arial" w:cs="Arial"/>
          <w:sz w:val="22"/>
          <w:szCs w:val="22"/>
        </w:rPr>
        <w:t xml:space="preserve">: For the outside member of the committee, students are encouraged to seek out experts in the field from institutions other than Stony Brook. An outside member does not need to be selected for the initial dissertation committee meetings, typically those during years 3 and 4. However, we encourage the student to select and </w:t>
      </w:r>
      <w:r>
        <w:rPr>
          <w:rFonts w:ascii="Arial" w:eastAsia="Arial" w:hAnsi="Arial" w:cs="Arial"/>
          <w:sz w:val="22"/>
          <w:szCs w:val="22"/>
        </w:rPr>
        <w:lastRenderedPageBreak/>
        <w:t xml:space="preserve">recruit an outside member as soon as possible. This will enhance the quality of the science and speed up progress. Also, outside members need not be present at all dissertation committee meetings and can utilize video or teleconferencing if necessary to participate in meetings or the dissertation defense. </w:t>
      </w:r>
    </w:p>
    <w:p w14:paraId="00000095" w14:textId="77777777" w:rsidR="00FC14A1" w:rsidRDefault="00000000">
      <w:pPr>
        <w:ind w:left="0" w:hanging="2"/>
        <w:rPr>
          <w:rFonts w:ascii="Arial" w:eastAsia="Arial" w:hAnsi="Arial" w:cs="Arial"/>
          <w:sz w:val="22"/>
          <w:szCs w:val="22"/>
        </w:rPr>
      </w:pPr>
      <w:r>
        <w:rPr>
          <w:rFonts w:ascii="Arial" w:eastAsia="Arial" w:hAnsi="Arial" w:cs="Arial"/>
          <w:sz w:val="22"/>
          <w:szCs w:val="22"/>
        </w:rPr>
        <w:t>The outside member cannot be a direct collaborator who has participated in the scientific work, as the role of the outside committee member is to be an external evaluator and direct participation in the project would be grounds for conflict of interest.</w:t>
      </w:r>
    </w:p>
    <w:p w14:paraId="00000096" w14:textId="77777777" w:rsidR="00FC14A1" w:rsidRDefault="00000000">
      <w:pPr>
        <w:ind w:left="0" w:hanging="2"/>
        <w:rPr>
          <w:rFonts w:ascii="Arial" w:eastAsia="Arial" w:hAnsi="Arial" w:cs="Arial"/>
          <w:sz w:val="22"/>
          <w:szCs w:val="22"/>
        </w:rPr>
      </w:pPr>
      <w:r>
        <w:rPr>
          <w:rFonts w:ascii="Arial" w:eastAsia="Arial" w:hAnsi="Arial" w:cs="Arial"/>
          <w:b/>
          <w:i/>
          <w:sz w:val="22"/>
          <w:szCs w:val="22"/>
        </w:rPr>
        <w:t>The dissertation committee, including a named outside member, must be</w:t>
      </w:r>
    </w:p>
    <w:p w14:paraId="00000097" w14:textId="77777777" w:rsidR="00FC14A1" w:rsidRDefault="00000000">
      <w:pPr>
        <w:ind w:left="0" w:hanging="2"/>
        <w:rPr>
          <w:rFonts w:ascii="Arial" w:eastAsia="Arial" w:hAnsi="Arial" w:cs="Arial"/>
          <w:sz w:val="22"/>
          <w:szCs w:val="22"/>
        </w:rPr>
      </w:pPr>
      <w:r>
        <w:rPr>
          <w:rFonts w:ascii="Arial" w:eastAsia="Arial" w:hAnsi="Arial" w:cs="Arial"/>
          <w:b/>
          <w:i/>
          <w:sz w:val="22"/>
          <w:szCs w:val="22"/>
        </w:rPr>
        <w:t>formally proposed to and approved by the Graduate Committee and by the Graduate School. This includes supplying biographical information about the outside committee member.</w:t>
      </w:r>
    </w:p>
    <w:p w14:paraId="00000098" w14:textId="77777777" w:rsidR="00FC14A1" w:rsidRDefault="00FC14A1">
      <w:pPr>
        <w:ind w:left="0" w:hanging="2"/>
        <w:rPr>
          <w:rFonts w:ascii="Arial" w:eastAsia="Arial" w:hAnsi="Arial" w:cs="Arial"/>
          <w:sz w:val="22"/>
          <w:szCs w:val="22"/>
        </w:rPr>
      </w:pPr>
    </w:p>
    <w:p w14:paraId="00000099" w14:textId="77777777" w:rsidR="00FC14A1" w:rsidRDefault="00000000">
      <w:pPr>
        <w:ind w:left="0" w:hanging="2"/>
        <w:rPr>
          <w:rFonts w:ascii="Arial" w:eastAsia="Arial" w:hAnsi="Arial" w:cs="Arial"/>
          <w:sz w:val="22"/>
          <w:szCs w:val="22"/>
        </w:rPr>
      </w:pPr>
      <w:r>
        <w:rPr>
          <w:rFonts w:ascii="Arial" w:eastAsia="Arial" w:hAnsi="Arial" w:cs="Arial"/>
          <w:b/>
          <w:sz w:val="22"/>
          <w:szCs w:val="22"/>
        </w:rPr>
        <w:t>2. DISSERTATION COMMITTEE MEETINGS</w:t>
      </w:r>
      <w:r>
        <w:rPr>
          <w:rFonts w:ascii="Arial" w:eastAsia="Arial" w:hAnsi="Arial" w:cs="Arial"/>
          <w:sz w:val="22"/>
          <w:szCs w:val="22"/>
        </w:rPr>
        <w:t xml:space="preserve"> </w:t>
      </w:r>
    </w:p>
    <w:p w14:paraId="0000009A"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The dissertation committee is to be convened at a minimum every six to twelve months. </w:t>
      </w:r>
      <w:r>
        <w:rPr>
          <w:rFonts w:ascii="Arial" w:eastAsia="Arial" w:hAnsi="Arial" w:cs="Arial"/>
          <w:b/>
          <w:i/>
          <w:sz w:val="22"/>
          <w:szCs w:val="22"/>
        </w:rPr>
        <w:t>It is the responsibility of the student that this requirement is met</w:t>
      </w:r>
      <w:r>
        <w:rPr>
          <w:rFonts w:ascii="Arial" w:eastAsia="Arial" w:hAnsi="Arial" w:cs="Arial"/>
          <w:b/>
          <w:sz w:val="22"/>
          <w:szCs w:val="22"/>
        </w:rPr>
        <w:t xml:space="preserve">.  </w:t>
      </w:r>
      <w:r>
        <w:rPr>
          <w:rFonts w:ascii="Arial" w:eastAsia="Arial" w:hAnsi="Arial" w:cs="Arial"/>
          <w:sz w:val="22"/>
          <w:szCs w:val="22"/>
        </w:rPr>
        <w:t>These regular meetings may be formal or informal, as agreed upon by the individual committee. After each meeting, the Dissertation Committee Chairperson must provide the PhD Program with a written record of the meeting in a timely manner. These notices are generally brief summaries of discussions and future plans.</w:t>
      </w:r>
    </w:p>
    <w:p w14:paraId="0000009B" w14:textId="77777777" w:rsidR="00FC14A1" w:rsidRDefault="00FC14A1">
      <w:pPr>
        <w:ind w:left="0" w:hanging="2"/>
        <w:rPr>
          <w:rFonts w:ascii="Arial" w:eastAsia="Arial" w:hAnsi="Arial" w:cs="Arial"/>
          <w:sz w:val="22"/>
          <w:szCs w:val="22"/>
        </w:rPr>
      </w:pPr>
    </w:p>
    <w:p w14:paraId="0000009C"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3. STUDENT SEMINARS: </w:t>
      </w:r>
      <w:r>
        <w:rPr>
          <w:rFonts w:ascii="Arial" w:eastAsia="Arial" w:hAnsi="Arial" w:cs="Arial"/>
          <w:sz w:val="22"/>
          <w:szCs w:val="22"/>
        </w:rPr>
        <w:t xml:space="preserve">All students who have been advanced to candidacy are required to give a departmental seminar once each year describing their progress in their dissertation research. These public seminars are usually held in the Life Sciences Building seminar room (038) at intervals throughout the Spring semester. Students are encouraged to schedule annual or semi-annual dissertation committee meetings concurrent with their seminars. </w:t>
      </w:r>
    </w:p>
    <w:p w14:paraId="0000009D" w14:textId="77777777" w:rsidR="00FC14A1" w:rsidRDefault="00FC14A1">
      <w:pPr>
        <w:ind w:left="0" w:hanging="2"/>
        <w:rPr>
          <w:rFonts w:ascii="Arial" w:eastAsia="Arial" w:hAnsi="Arial" w:cs="Arial"/>
          <w:sz w:val="22"/>
          <w:szCs w:val="22"/>
        </w:rPr>
      </w:pPr>
    </w:p>
    <w:p w14:paraId="0000009E"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4. RESEARCH PUBLICATIONS: STUDENT CITATIONS </w:t>
      </w:r>
    </w:p>
    <w:p w14:paraId="0000009F"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All published research that includes Program students as authors must cite the student’s institutional affiliation as: </w:t>
      </w:r>
      <w:r>
        <w:rPr>
          <w:rFonts w:ascii="Arial" w:eastAsia="Arial" w:hAnsi="Arial" w:cs="Arial"/>
          <w:b/>
          <w:sz w:val="22"/>
          <w:szCs w:val="22"/>
        </w:rPr>
        <w:t>Graduate Program in Neuroscience, Stony Brook University.</w:t>
      </w:r>
    </w:p>
    <w:p w14:paraId="000000A0" w14:textId="77777777" w:rsidR="00FC14A1" w:rsidRDefault="00FC14A1">
      <w:pPr>
        <w:ind w:left="0" w:hanging="2"/>
        <w:rPr>
          <w:rFonts w:ascii="Arial" w:eastAsia="Arial" w:hAnsi="Arial" w:cs="Arial"/>
          <w:sz w:val="22"/>
          <w:szCs w:val="22"/>
        </w:rPr>
      </w:pPr>
    </w:p>
    <w:p w14:paraId="000000A1"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5. ACADEMIC GOOD STANDING; YEAR 3 AND BEYOND </w:t>
      </w:r>
    </w:p>
    <w:p w14:paraId="000000A2" w14:textId="77777777" w:rsidR="00FC14A1" w:rsidRDefault="00000000">
      <w:pPr>
        <w:ind w:left="0" w:hanging="2"/>
        <w:rPr>
          <w:rFonts w:ascii="Arial" w:eastAsia="Arial" w:hAnsi="Arial" w:cs="Arial"/>
          <w:sz w:val="22"/>
          <w:szCs w:val="22"/>
        </w:rPr>
      </w:pPr>
      <w:r>
        <w:rPr>
          <w:rFonts w:ascii="Arial" w:eastAsia="Arial" w:hAnsi="Arial" w:cs="Arial"/>
          <w:sz w:val="22"/>
          <w:szCs w:val="22"/>
        </w:rPr>
        <w:t>The Graduate Committee annually reviews the progress of all students. After advancement to candidacy, students must show timely convening of the dissertation committee and evidence of research progress at regular dissertation committee meetings. Student progress is also gleaned from annual evaluation letters prepared by the dissertation advisor and submitted to the Graduate Committee. A letter of evaluation summarizing all of the information gathered is sent to each student, who acknowledges receipt of the letter by signing and returning a copy to the Graduate Committee. Copies of letters are also sent to the dissertation advisor and to the Graduate School. Students who have advanced to candidacy register for course credit each semester in BNB 699, Dissertation Research. Any grade of Unsatisfactory in this course will be grounds for possible dismissal from the Program, after review by the Graduate Committee.</w:t>
      </w:r>
    </w:p>
    <w:p w14:paraId="000000A3" w14:textId="77777777" w:rsidR="00FC14A1" w:rsidRDefault="00FC14A1">
      <w:pPr>
        <w:ind w:left="0" w:hanging="2"/>
        <w:rPr>
          <w:rFonts w:ascii="Arial" w:eastAsia="Arial" w:hAnsi="Arial" w:cs="Arial"/>
          <w:sz w:val="22"/>
          <w:szCs w:val="22"/>
        </w:rPr>
      </w:pPr>
    </w:p>
    <w:p w14:paraId="000000A4"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6. DISSERTATION DEFENSE </w:t>
      </w:r>
    </w:p>
    <w:p w14:paraId="000000A5" w14:textId="77777777" w:rsidR="00FC14A1" w:rsidRDefault="00000000">
      <w:pPr>
        <w:ind w:left="0" w:hanging="2"/>
        <w:rPr>
          <w:rFonts w:ascii="Noto Sans Symbols" w:eastAsia="Noto Sans Symbols" w:hAnsi="Noto Sans Symbols" w:cs="Noto Sans Symbols"/>
          <w:sz w:val="22"/>
          <w:szCs w:val="22"/>
        </w:rPr>
      </w:pPr>
      <w:r>
        <w:rPr>
          <w:rFonts w:ascii="Arial" w:eastAsia="Arial" w:hAnsi="Arial" w:cs="Arial"/>
          <w:sz w:val="22"/>
          <w:szCs w:val="22"/>
        </w:rPr>
        <w:t xml:space="preserve">When the dissertation committee agrees that the dissertation research is completed, the student in cooperation with their advisor and the chairperson of the committee should schedule a formal dissertation defense. The defense will consist of a complete, written dissertation that meets all requirements of the Graduate School and that is submitted to </w:t>
      </w:r>
      <w:r>
        <w:rPr>
          <w:rFonts w:ascii="Arial" w:eastAsia="Arial" w:hAnsi="Arial" w:cs="Arial"/>
          <w:sz w:val="22"/>
          <w:szCs w:val="22"/>
        </w:rPr>
        <w:lastRenderedPageBreak/>
        <w:t xml:space="preserve">all members of the Thesis Committee </w:t>
      </w:r>
      <w:r>
        <w:rPr>
          <w:rFonts w:ascii="Arial" w:eastAsia="Arial" w:hAnsi="Arial" w:cs="Arial"/>
          <w:b/>
          <w:i/>
          <w:sz w:val="22"/>
          <w:szCs w:val="22"/>
        </w:rPr>
        <w:t>at least two weeks before</w:t>
      </w:r>
      <w:r>
        <w:rPr>
          <w:rFonts w:ascii="Arial" w:eastAsia="Arial" w:hAnsi="Arial" w:cs="Arial"/>
          <w:i/>
          <w:sz w:val="22"/>
          <w:szCs w:val="22"/>
        </w:rPr>
        <w:t xml:space="preserve"> </w:t>
      </w:r>
      <w:r>
        <w:rPr>
          <w:rFonts w:ascii="Arial" w:eastAsia="Arial" w:hAnsi="Arial" w:cs="Arial"/>
          <w:b/>
          <w:i/>
          <w:sz w:val="22"/>
          <w:szCs w:val="22"/>
        </w:rPr>
        <w:t>an oral defense</w:t>
      </w:r>
      <w:r>
        <w:rPr>
          <w:rFonts w:ascii="Arial" w:eastAsia="Arial" w:hAnsi="Arial" w:cs="Arial"/>
          <w:b/>
          <w:sz w:val="22"/>
          <w:szCs w:val="22"/>
        </w:rPr>
        <w:t xml:space="preserve">. </w:t>
      </w:r>
      <w:r>
        <w:rPr>
          <w:rFonts w:ascii="Arial" w:eastAsia="Arial" w:hAnsi="Arial" w:cs="Arial"/>
          <w:sz w:val="22"/>
          <w:szCs w:val="22"/>
        </w:rPr>
        <w:t>A thesis may include published or submitted manuscripts as component chapters, but must also contain:</w:t>
      </w:r>
      <w:r>
        <w:rPr>
          <w:rFonts w:ascii="Noto Sans Symbols" w:eastAsia="Noto Sans Symbols" w:hAnsi="Noto Sans Symbols" w:cs="Noto Sans Symbols"/>
          <w:sz w:val="22"/>
          <w:szCs w:val="22"/>
        </w:rPr>
        <w:t xml:space="preserve"> </w:t>
      </w:r>
    </w:p>
    <w:p w14:paraId="000000A6" w14:textId="77777777" w:rsidR="00FC14A1" w:rsidRDefault="00000000">
      <w:pPr>
        <w:ind w:left="0" w:hanging="2"/>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An extended introduction that reviews the relevant literature and appropriately frames</w:t>
      </w:r>
    </w:p>
    <w:p w14:paraId="000000A7" w14:textId="77777777" w:rsidR="00FC14A1" w:rsidRDefault="00000000">
      <w:pPr>
        <w:ind w:left="0" w:hanging="2"/>
        <w:rPr>
          <w:rFonts w:ascii="Noto Sans Symbols" w:eastAsia="Noto Sans Symbols" w:hAnsi="Noto Sans Symbols" w:cs="Noto Sans Symbols"/>
          <w:sz w:val="22"/>
          <w:szCs w:val="22"/>
        </w:rPr>
      </w:pPr>
      <w:r>
        <w:rPr>
          <w:rFonts w:ascii="Arial" w:eastAsia="Arial" w:hAnsi="Arial" w:cs="Arial"/>
          <w:sz w:val="22"/>
          <w:szCs w:val="22"/>
        </w:rPr>
        <w:t>the research questions</w:t>
      </w:r>
      <w:r>
        <w:rPr>
          <w:rFonts w:ascii="Noto Sans Symbols" w:eastAsia="Noto Sans Symbols" w:hAnsi="Noto Sans Symbols" w:cs="Noto Sans Symbols"/>
          <w:sz w:val="22"/>
          <w:szCs w:val="22"/>
        </w:rPr>
        <w:t xml:space="preserve"> </w:t>
      </w:r>
    </w:p>
    <w:p w14:paraId="000000A8" w14:textId="77777777" w:rsidR="00FC14A1" w:rsidRDefault="00000000">
      <w:pPr>
        <w:ind w:left="0" w:hanging="2"/>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A conclusion that summarizes the work and places results within a broader context.</w:t>
      </w:r>
    </w:p>
    <w:p w14:paraId="000000A9" w14:textId="77777777" w:rsidR="00FC14A1" w:rsidRDefault="00FC14A1">
      <w:pPr>
        <w:ind w:left="0" w:hanging="2"/>
        <w:rPr>
          <w:rFonts w:ascii="Arial" w:eastAsia="Arial" w:hAnsi="Arial" w:cs="Arial"/>
          <w:sz w:val="22"/>
          <w:szCs w:val="22"/>
        </w:rPr>
      </w:pPr>
    </w:p>
    <w:p w14:paraId="000000AA" w14:textId="77777777" w:rsidR="00FC14A1" w:rsidRDefault="00000000">
      <w:pPr>
        <w:ind w:left="0" w:hanging="2"/>
        <w:rPr>
          <w:rFonts w:ascii="Arial" w:eastAsia="Arial" w:hAnsi="Arial" w:cs="Arial"/>
          <w:sz w:val="22"/>
          <w:szCs w:val="22"/>
        </w:rPr>
      </w:pPr>
      <w:r>
        <w:rPr>
          <w:rFonts w:ascii="Arial" w:eastAsia="Arial" w:hAnsi="Arial" w:cs="Arial"/>
          <w:sz w:val="22"/>
          <w:szCs w:val="22"/>
        </w:rPr>
        <w:t>The oral defense of the thesis will include a public seminar given to the Graduate Program at large. In compliance with the guidelines of the Graduate School, this public presentation must take place on the Stony Brook campus, preferably in the Life Sciences Building Seminar Room (038). The public address is followed by a defense of the work and its conclusions to the dissertation committee. The entire thesis committee, including the thesis adviser must attend the defense. The defense should be attended by the Outside member of the dissertation committee; video or teleconferencing can be used if necessary.</w:t>
      </w:r>
    </w:p>
    <w:p w14:paraId="000000AB" w14:textId="77777777" w:rsidR="00FC14A1" w:rsidRDefault="00FC14A1">
      <w:pPr>
        <w:ind w:left="0" w:hanging="2"/>
        <w:rPr>
          <w:rFonts w:ascii="Arial" w:eastAsia="Arial" w:hAnsi="Arial" w:cs="Arial"/>
          <w:sz w:val="22"/>
          <w:szCs w:val="22"/>
        </w:rPr>
      </w:pPr>
    </w:p>
    <w:p w14:paraId="000000AC" w14:textId="77777777" w:rsidR="00FC14A1" w:rsidRDefault="00000000">
      <w:pPr>
        <w:ind w:left="0" w:hanging="2"/>
        <w:rPr>
          <w:rFonts w:ascii="Arial" w:eastAsia="Arial" w:hAnsi="Arial" w:cs="Arial"/>
          <w:b/>
          <w:sz w:val="22"/>
          <w:szCs w:val="22"/>
        </w:rPr>
      </w:pPr>
      <w:r>
        <w:rPr>
          <w:rFonts w:ascii="Arial" w:eastAsia="Arial" w:hAnsi="Arial" w:cs="Arial"/>
          <w:b/>
          <w:sz w:val="22"/>
          <w:szCs w:val="22"/>
        </w:rPr>
        <w:t xml:space="preserve">DEFENSE DATE </w:t>
      </w:r>
    </w:p>
    <w:p w14:paraId="000000AD"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Deadlines are set </w:t>
      </w:r>
      <w:r>
        <w:rPr>
          <w:rFonts w:ascii="Arial" w:eastAsia="Arial" w:hAnsi="Arial" w:cs="Arial"/>
          <w:i/>
          <w:sz w:val="22"/>
          <w:szCs w:val="22"/>
        </w:rPr>
        <w:t xml:space="preserve">each </w:t>
      </w:r>
      <w:r>
        <w:rPr>
          <w:rFonts w:ascii="Arial" w:eastAsia="Arial" w:hAnsi="Arial" w:cs="Arial"/>
          <w:sz w:val="22"/>
          <w:szCs w:val="22"/>
        </w:rPr>
        <w:t>s</w:t>
      </w:r>
      <w:r>
        <w:rPr>
          <w:rFonts w:ascii="Arial" w:eastAsia="Arial" w:hAnsi="Arial" w:cs="Arial"/>
          <w:i/>
          <w:sz w:val="22"/>
          <w:szCs w:val="22"/>
        </w:rPr>
        <w:t xml:space="preserve">emester </w:t>
      </w:r>
      <w:r>
        <w:rPr>
          <w:rFonts w:ascii="Arial" w:eastAsia="Arial" w:hAnsi="Arial" w:cs="Arial"/>
          <w:sz w:val="22"/>
          <w:szCs w:val="22"/>
        </w:rPr>
        <w:t>by the Graduate School for students to (a) apply online for graduation, (b) advertise their defense, and (c) to file dissertations with the Graduate School Office. The PhD Program additionally requires a written statement from the research mentor indicating their agreement with expected dates of graduation. Advanced students will receive email notification of deadlines and a posting of that message will remain on the Graduate Program Bulletin Board throughout each degree awarding period. The Graduate School’s webpage should also be consulted for updates of its requirements and “Guide to the Preparation of Theses and Dissertations.”</w:t>
      </w:r>
    </w:p>
    <w:p w14:paraId="000000AE" w14:textId="77777777" w:rsidR="00FC14A1" w:rsidRDefault="00FC14A1">
      <w:pPr>
        <w:ind w:left="0" w:hanging="2"/>
        <w:rPr>
          <w:rFonts w:ascii="Arial" w:eastAsia="Arial" w:hAnsi="Arial" w:cs="Arial"/>
          <w:sz w:val="22"/>
          <w:szCs w:val="22"/>
        </w:rPr>
      </w:pPr>
    </w:p>
    <w:p w14:paraId="000000AF" w14:textId="77777777" w:rsidR="00FC14A1" w:rsidRDefault="00000000">
      <w:pPr>
        <w:ind w:left="0" w:hanging="2"/>
        <w:rPr>
          <w:rFonts w:ascii="Arial" w:eastAsia="Arial" w:hAnsi="Arial" w:cs="Arial"/>
          <w:sz w:val="22"/>
          <w:szCs w:val="22"/>
        </w:rPr>
      </w:pPr>
      <w:r>
        <w:rPr>
          <w:rFonts w:ascii="Arial" w:eastAsia="Arial" w:hAnsi="Arial" w:cs="Arial"/>
          <w:b/>
          <w:i/>
          <w:sz w:val="22"/>
          <w:szCs w:val="22"/>
        </w:rPr>
        <w:t>Note: All students must be registered during the semester during which the thesis is defended. During the fall and spring at least one credit is required. In summer, the 1 credit course GRD 800 fulfills the registration requirement for graduation.</w:t>
      </w:r>
    </w:p>
    <w:p w14:paraId="000000B0" w14:textId="77777777" w:rsidR="00FC14A1" w:rsidRDefault="00000000">
      <w:pPr>
        <w:ind w:left="0" w:hanging="2"/>
        <w:rPr>
          <w:rFonts w:ascii="Arial" w:eastAsia="Arial" w:hAnsi="Arial" w:cs="Arial"/>
          <w:sz w:val="22"/>
          <w:szCs w:val="22"/>
        </w:rPr>
      </w:pPr>
      <w:r>
        <w:rPr>
          <w:rFonts w:ascii="Arial" w:eastAsia="Arial" w:hAnsi="Arial" w:cs="Arial"/>
          <w:sz w:val="22"/>
          <w:szCs w:val="22"/>
        </w:rPr>
        <w:t>The Graduate School requires the submission of a Doctoral Degree Defense Announcement THREE WEEKS prior to the defense. The form is available to download from the Graduate School’s link “Forms.” It includes an abstract of the thesis, to be cosigned by the thesis advisor and electronically submitted to the Graduate School by the Graduate Program Director.</w:t>
      </w:r>
    </w:p>
    <w:p w14:paraId="000000B1" w14:textId="77777777" w:rsidR="00FC14A1" w:rsidRDefault="00FC14A1">
      <w:pPr>
        <w:ind w:left="1" w:hanging="3"/>
        <w:rPr>
          <w:rFonts w:ascii="Arial" w:eastAsia="Arial" w:hAnsi="Arial" w:cs="Arial"/>
          <w:sz w:val="28"/>
          <w:szCs w:val="28"/>
        </w:rPr>
      </w:pPr>
    </w:p>
    <w:p w14:paraId="4B39BDB2" w14:textId="77777777" w:rsidR="00F97ECA" w:rsidRDefault="00F97ECA" w:rsidP="00F97ECA">
      <w:pPr>
        <w:ind w:left="1" w:hanging="3"/>
        <w:rPr>
          <w:rFonts w:ascii="Arial" w:eastAsia="Arial" w:hAnsi="Arial" w:cs="Arial"/>
          <w:b/>
          <w:sz w:val="28"/>
          <w:szCs w:val="28"/>
        </w:rPr>
      </w:pPr>
      <w:r>
        <w:rPr>
          <w:rFonts w:ascii="Arial" w:eastAsia="Arial" w:hAnsi="Arial" w:cs="Arial"/>
          <w:b/>
          <w:sz w:val="28"/>
          <w:szCs w:val="28"/>
        </w:rPr>
        <w:t>CONFLICT RESOLUTION PROCEDURES</w:t>
      </w:r>
    </w:p>
    <w:p w14:paraId="012F35CD" w14:textId="77777777" w:rsidR="00F97ECA" w:rsidRDefault="00F97ECA" w:rsidP="00F97ECA">
      <w:pPr>
        <w:ind w:left="0" w:hanging="2"/>
        <w:rPr>
          <w:rFonts w:ascii="Arial" w:eastAsia="Arial" w:hAnsi="Arial" w:cs="Arial"/>
          <w:sz w:val="22"/>
          <w:szCs w:val="22"/>
        </w:rPr>
      </w:pPr>
      <w:r>
        <w:rPr>
          <w:rFonts w:ascii="Arial" w:eastAsia="Arial" w:hAnsi="Arial" w:cs="Arial"/>
          <w:sz w:val="22"/>
          <w:szCs w:val="22"/>
        </w:rPr>
        <w:t>Issues regarding specific problems with the research project should be discussed by students and advisers. The Thesis Committee may be engaged at the request of the student or faculty adviser to help resolve the concerns. Issues in this category may include disagreements about program directions, scope of thesis research, or lack of access to scientific resources or facilities. The concerns may be raised during the yearly (or bi-yearly) progress report during, as these meetings include opportunities for the student and the mentor to privately discuss issues before the progress report presentation.</w:t>
      </w:r>
    </w:p>
    <w:p w14:paraId="0B2FAEAD" w14:textId="77777777" w:rsidR="00F97ECA" w:rsidRDefault="00F97ECA" w:rsidP="00F97ECA">
      <w:pPr>
        <w:ind w:left="0" w:hanging="2"/>
        <w:rPr>
          <w:rFonts w:ascii="Arial" w:eastAsia="Arial" w:hAnsi="Arial" w:cs="Arial"/>
          <w:sz w:val="22"/>
          <w:szCs w:val="22"/>
        </w:rPr>
      </w:pPr>
    </w:p>
    <w:p w14:paraId="3F4CD4FA" w14:textId="77777777" w:rsidR="00F97ECA" w:rsidRDefault="00F97ECA" w:rsidP="00F97ECA">
      <w:pPr>
        <w:ind w:left="0" w:hanging="2"/>
        <w:rPr>
          <w:rFonts w:ascii="Arial" w:eastAsia="Arial" w:hAnsi="Arial" w:cs="Arial"/>
          <w:sz w:val="22"/>
          <w:szCs w:val="22"/>
        </w:rPr>
      </w:pPr>
      <w:r>
        <w:rPr>
          <w:rFonts w:ascii="Arial" w:eastAsia="Arial" w:hAnsi="Arial" w:cs="Arial"/>
          <w:sz w:val="22"/>
          <w:szCs w:val="22"/>
        </w:rPr>
        <w:t xml:space="preserve">Issues regarding the mentor/mentee relationship may be brought by the student or the faculty adviser to the Thesis Committee during the progress report or at any time it may be needed. The Thesis Committee will attempt a mediation and engage the Program </w:t>
      </w:r>
      <w:r>
        <w:rPr>
          <w:rFonts w:ascii="Arial" w:eastAsia="Arial" w:hAnsi="Arial" w:cs="Arial"/>
          <w:sz w:val="22"/>
          <w:szCs w:val="22"/>
        </w:rPr>
        <w:lastRenderedPageBreak/>
        <w:t>Committee and Graduate Program Director if needed. The Committee will follow the guidelines described above regarding the discussion of whether the student is in good standing with the Program and provide pathways to resolution. The first step in the process will be to encourage mentor and mentee to draft an agreement plan that includes expectations from both sides, vacation and notification procedures, specific meeting patterns and an outline of expected experiments and milestones. The plan should be submitted to the thesis committee for review and the final plan should be submitted to the Program Director. If this procedure does not lead to a resolution, alternative avenues may be explored including the requirement to participate in mentoring or mentor/mentee workshops or the need to consider the transfer of the student to a different laboratory.</w:t>
      </w:r>
    </w:p>
    <w:p w14:paraId="01934DA8" w14:textId="77777777" w:rsidR="00F97ECA" w:rsidRDefault="00F97ECA" w:rsidP="00F97ECA">
      <w:pPr>
        <w:ind w:left="0" w:hanging="2"/>
        <w:rPr>
          <w:rFonts w:ascii="Arial" w:eastAsia="Arial" w:hAnsi="Arial" w:cs="Arial"/>
          <w:sz w:val="22"/>
          <w:szCs w:val="22"/>
        </w:rPr>
      </w:pPr>
    </w:p>
    <w:p w14:paraId="0B16E520" w14:textId="77777777" w:rsidR="00F97ECA" w:rsidRDefault="00F97ECA" w:rsidP="00F97ECA">
      <w:pPr>
        <w:ind w:left="0" w:hanging="2"/>
        <w:rPr>
          <w:rFonts w:ascii="Arial" w:eastAsia="Arial" w:hAnsi="Arial" w:cs="Arial"/>
          <w:sz w:val="22"/>
          <w:szCs w:val="22"/>
        </w:rPr>
      </w:pPr>
      <w:r>
        <w:rPr>
          <w:rFonts w:ascii="Arial" w:eastAsia="Arial" w:hAnsi="Arial" w:cs="Arial"/>
          <w:sz w:val="22"/>
          <w:szCs w:val="22"/>
        </w:rPr>
        <w:t xml:space="preserve">Issues regarding Title VII and Title IX concerns may be reported to the appropriate offices directly or through the </w:t>
      </w:r>
      <w:hyperlink r:id="rId8" w:history="1">
        <w:proofErr w:type="spellStart"/>
        <w:r w:rsidRPr="00711486">
          <w:rPr>
            <w:rStyle w:val="Hyperlink"/>
            <w:rFonts w:ascii="Arial" w:eastAsia="Arial" w:hAnsi="Arial" w:cs="Arial"/>
            <w:sz w:val="22"/>
            <w:szCs w:val="22"/>
          </w:rPr>
          <w:t>ReportIt</w:t>
        </w:r>
        <w:proofErr w:type="spellEnd"/>
        <w:r w:rsidRPr="00711486">
          <w:rPr>
            <w:rStyle w:val="Hyperlink"/>
            <w:rFonts w:ascii="Arial" w:eastAsia="Arial" w:hAnsi="Arial" w:cs="Arial"/>
            <w:sz w:val="22"/>
            <w:szCs w:val="22"/>
          </w:rPr>
          <w:t xml:space="preserve"> portal</w:t>
        </w:r>
      </w:hyperlink>
      <w:r>
        <w:rPr>
          <w:rFonts w:ascii="Arial" w:eastAsia="Arial" w:hAnsi="Arial" w:cs="Arial"/>
          <w:sz w:val="22"/>
          <w:szCs w:val="22"/>
        </w:rPr>
        <w:t>.</w:t>
      </w:r>
    </w:p>
    <w:p w14:paraId="0860ADDC" w14:textId="77777777" w:rsidR="00F97ECA" w:rsidRDefault="00F97ECA" w:rsidP="00F97ECA">
      <w:pPr>
        <w:ind w:left="0" w:hanging="2"/>
        <w:rPr>
          <w:rFonts w:ascii="Arial" w:eastAsia="Arial" w:hAnsi="Arial" w:cs="Arial"/>
          <w:sz w:val="22"/>
          <w:szCs w:val="22"/>
        </w:rPr>
      </w:pPr>
    </w:p>
    <w:p w14:paraId="7FFA767F" w14:textId="77777777" w:rsidR="00F97ECA" w:rsidRDefault="00F97ECA" w:rsidP="00F97ECA">
      <w:pPr>
        <w:ind w:left="0" w:hanging="2"/>
        <w:rPr>
          <w:rFonts w:ascii="Arial" w:eastAsia="Arial" w:hAnsi="Arial" w:cs="Arial"/>
          <w:sz w:val="22"/>
          <w:szCs w:val="22"/>
        </w:rPr>
      </w:pPr>
      <w:r>
        <w:rPr>
          <w:rFonts w:ascii="Arial" w:eastAsia="Arial" w:hAnsi="Arial" w:cs="Arial"/>
          <w:sz w:val="22"/>
          <w:szCs w:val="22"/>
        </w:rPr>
        <w:t xml:space="preserve">Grievance and Appeal Procedures regarding scientific misconduct will follow the guidelines indicated in the </w:t>
      </w:r>
      <w:hyperlink r:id="rId9" w:history="1">
        <w:r w:rsidRPr="00711486">
          <w:rPr>
            <w:rStyle w:val="Hyperlink"/>
            <w:rFonts w:ascii="Arial" w:eastAsia="Arial" w:hAnsi="Arial" w:cs="Arial"/>
            <w:sz w:val="22"/>
            <w:szCs w:val="22"/>
          </w:rPr>
          <w:t>Graduate School Bulletin</w:t>
        </w:r>
      </w:hyperlink>
      <w:r>
        <w:rPr>
          <w:rFonts w:ascii="Arial" w:eastAsia="Arial" w:hAnsi="Arial" w:cs="Arial"/>
          <w:sz w:val="22"/>
          <w:szCs w:val="22"/>
        </w:rPr>
        <w:t>.</w:t>
      </w:r>
    </w:p>
    <w:p w14:paraId="22C3C3C2" w14:textId="77777777" w:rsidR="00F97ECA" w:rsidRDefault="00F97ECA">
      <w:pPr>
        <w:ind w:left="1" w:hanging="3"/>
        <w:rPr>
          <w:rFonts w:ascii="Arial" w:eastAsia="Arial" w:hAnsi="Arial" w:cs="Arial"/>
          <w:sz w:val="28"/>
          <w:szCs w:val="28"/>
        </w:rPr>
      </w:pPr>
    </w:p>
    <w:p w14:paraId="000000B2" w14:textId="77777777" w:rsidR="00FC14A1" w:rsidRDefault="00FC14A1">
      <w:pPr>
        <w:ind w:left="1" w:hanging="3"/>
        <w:rPr>
          <w:rFonts w:ascii="Arial" w:eastAsia="Arial" w:hAnsi="Arial" w:cs="Arial"/>
          <w:sz w:val="28"/>
          <w:szCs w:val="28"/>
        </w:rPr>
      </w:pPr>
    </w:p>
    <w:p w14:paraId="000000B3" w14:textId="77777777" w:rsidR="00FC14A1" w:rsidRDefault="00000000">
      <w:pPr>
        <w:ind w:left="1" w:hanging="3"/>
        <w:rPr>
          <w:rFonts w:ascii="Arial" w:eastAsia="Arial" w:hAnsi="Arial" w:cs="Arial"/>
          <w:sz w:val="28"/>
          <w:szCs w:val="28"/>
        </w:rPr>
      </w:pPr>
      <w:r>
        <w:rPr>
          <w:rFonts w:ascii="Arial" w:eastAsia="Arial" w:hAnsi="Arial" w:cs="Arial"/>
          <w:b/>
          <w:sz w:val="28"/>
          <w:szCs w:val="28"/>
        </w:rPr>
        <w:t>PHD PROGRAM IN NEUROSCIENCE</w:t>
      </w:r>
    </w:p>
    <w:p w14:paraId="000000B4" w14:textId="77777777" w:rsidR="00FC14A1" w:rsidRDefault="00000000">
      <w:pPr>
        <w:ind w:left="1" w:hanging="3"/>
        <w:rPr>
          <w:rFonts w:ascii="Arial" w:eastAsia="Arial" w:hAnsi="Arial" w:cs="Arial"/>
          <w:sz w:val="28"/>
          <w:szCs w:val="28"/>
        </w:rPr>
      </w:pPr>
      <w:r>
        <w:rPr>
          <w:rFonts w:ascii="Arial" w:eastAsia="Arial" w:hAnsi="Arial" w:cs="Arial"/>
          <w:b/>
          <w:sz w:val="28"/>
          <w:szCs w:val="28"/>
        </w:rPr>
        <w:t>STONY BROOK UNIVERSITY</w:t>
      </w:r>
    </w:p>
    <w:p w14:paraId="000000B5" w14:textId="77777777" w:rsidR="00FC14A1" w:rsidRDefault="00000000">
      <w:pPr>
        <w:ind w:left="1" w:hanging="3"/>
        <w:rPr>
          <w:rFonts w:ascii="Arial" w:eastAsia="Arial" w:hAnsi="Arial" w:cs="Arial"/>
          <w:sz w:val="28"/>
          <w:szCs w:val="28"/>
        </w:rPr>
      </w:pPr>
      <w:r>
        <w:rPr>
          <w:rFonts w:ascii="Arial" w:eastAsia="Arial" w:hAnsi="Arial" w:cs="Arial"/>
          <w:b/>
          <w:sz w:val="28"/>
          <w:szCs w:val="28"/>
        </w:rPr>
        <w:t>A FEW GUIDELINES OF PARTICULAR INTEREST TO:</w:t>
      </w:r>
    </w:p>
    <w:p w14:paraId="000000B6" w14:textId="77777777" w:rsidR="00FC14A1" w:rsidRDefault="00000000">
      <w:pPr>
        <w:ind w:left="1" w:hanging="3"/>
        <w:rPr>
          <w:rFonts w:ascii="Noto Sans Symbols" w:eastAsia="Noto Sans Symbols" w:hAnsi="Noto Sans Symbols" w:cs="Noto Sans Symbols"/>
          <w:sz w:val="28"/>
          <w:szCs w:val="28"/>
        </w:rPr>
      </w:pPr>
      <w:r>
        <w:rPr>
          <w:rFonts w:ascii="Noto Sans Symbols" w:eastAsia="Noto Sans Symbols" w:hAnsi="Noto Sans Symbols" w:cs="Noto Sans Symbols"/>
          <w:b/>
          <w:sz w:val="28"/>
          <w:szCs w:val="28"/>
        </w:rPr>
        <w:t>PROGRAM FACULTY</w:t>
      </w:r>
      <w:r>
        <w:rPr>
          <w:rFonts w:ascii="Noto Sans Symbols" w:eastAsia="Noto Sans Symbols" w:hAnsi="Noto Sans Symbols" w:cs="Noto Sans Symbols"/>
          <w:sz w:val="28"/>
          <w:szCs w:val="28"/>
        </w:rPr>
        <w:t xml:space="preserve"> </w:t>
      </w:r>
    </w:p>
    <w:p w14:paraId="000000B7" w14:textId="77777777" w:rsidR="00FC14A1" w:rsidRDefault="00000000">
      <w:pPr>
        <w:numPr>
          <w:ilvl w:val="0"/>
          <w:numId w:val="1"/>
        </w:numPr>
        <w:spacing w:line="240" w:lineRule="auto"/>
        <w:ind w:left="0" w:hanging="2"/>
        <w:rPr>
          <w:rFonts w:ascii="Arial" w:eastAsia="Arial" w:hAnsi="Arial" w:cs="Arial"/>
          <w:sz w:val="22"/>
          <w:szCs w:val="22"/>
        </w:rPr>
      </w:pPr>
      <w:r>
        <w:rPr>
          <w:rFonts w:ascii="Arial" w:eastAsia="Arial" w:hAnsi="Arial" w:cs="Arial"/>
          <w:b/>
          <w:sz w:val="22"/>
          <w:szCs w:val="22"/>
        </w:rPr>
        <w:t>AFFILIATION TO THE PROGRAM</w:t>
      </w:r>
      <w:r>
        <w:rPr>
          <w:rFonts w:ascii="Arial" w:eastAsia="Arial" w:hAnsi="Arial" w:cs="Arial"/>
          <w:sz w:val="22"/>
          <w:szCs w:val="22"/>
        </w:rPr>
        <w:t xml:space="preserve">. Faculty members of the PhD Program home department, the Department of Neurobiology and Behavior at Stony Brook University, become affiliated with the program upon hiring. Faculty members from other departments on Stony Brook University campus and off campus institutions which have an agreement with Stony Brook University can apply to become affiliated with the program. The application includes a cover letter indicating interest in joining the program and field of study, a CV that includes a synopsis of past and current funding and separate  statements of research interests and mentoring philosophy. The application will be evaluated and voted on by the PhD Program Director together with the Program Executive Committee. Unanimous vote is required. If the vote is positive, the candidate affiliate faculty will be asked to sign a letter of commitment indicating their understanding and agreement to required participation in program activities in addition to mentoring students for rotations and research (e.g. teaching, recruitment, attendance of annual symposium and students’ talks). The letter will be co-signed by the PhD Program Director, the Chair of the Department of Neurobiology and Behavior and a representative of the leadership of the candidate affiliate faculty home department or institution (e.g. Department Chair or vice-Chair for Stony Brook University faculty, or the direct supervisor for faculty from off campus institutions). </w:t>
      </w:r>
    </w:p>
    <w:p w14:paraId="000000B8" w14:textId="77777777" w:rsidR="00FC14A1" w:rsidRDefault="00FC14A1">
      <w:pPr>
        <w:spacing w:line="240" w:lineRule="auto"/>
        <w:ind w:left="0" w:hanging="2"/>
        <w:rPr>
          <w:rFonts w:ascii="Arial" w:eastAsia="Arial" w:hAnsi="Arial" w:cs="Arial"/>
          <w:sz w:val="22"/>
          <w:szCs w:val="22"/>
        </w:rPr>
      </w:pPr>
    </w:p>
    <w:p w14:paraId="000000B9" w14:textId="77777777" w:rsidR="00FC14A1" w:rsidRDefault="00000000">
      <w:pPr>
        <w:numPr>
          <w:ilvl w:val="0"/>
          <w:numId w:val="1"/>
        </w:numPr>
        <w:spacing w:line="240" w:lineRule="auto"/>
        <w:ind w:left="0" w:hanging="2"/>
        <w:rPr>
          <w:rFonts w:ascii="Arial" w:eastAsia="Arial" w:hAnsi="Arial" w:cs="Arial"/>
          <w:sz w:val="22"/>
          <w:szCs w:val="22"/>
        </w:rPr>
      </w:pPr>
      <w:r>
        <w:rPr>
          <w:rFonts w:ascii="Arial" w:eastAsia="Arial" w:hAnsi="Arial" w:cs="Arial"/>
          <w:b/>
          <w:sz w:val="22"/>
          <w:szCs w:val="22"/>
        </w:rPr>
        <w:t xml:space="preserve">CONDITIONS FOR PROBATION OR FACULTY/MENTORS DISMISSAL FROM THE PROGRAM. </w:t>
      </w:r>
      <w:r>
        <w:rPr>
          <w:rFonts w:ascii="Arial" w:eastAsia="Arial" w:hAnsi="Arial" w:cs="Arial"/>
          <w:sz w:val="22"/>
          <w:szCs w:val="22"/>
        </w:rPr>
        <w:t>Faculty/mentors participation in program activities will be evaluated on a yearly basis. Faculty/mentors will receive a written warning of potential dismissal for one or more of the following”</w:t>
      </w:r>
    </w:p>
    <w:p w14:paraId="000000BA" w14:textId="77777777" w:rsidR="00FC14A1" w:rsidRDefault="00000000">
      <w:pPr>
        <w:numPr>
          <w:ilvl w:val="0"/>
          <w:numId w:val="4"/>
        </w:numPr>
        <w:spacing w:line="240" w:lineRule="auto"/>
        <w:ind w:left="0" w:hanging="2"/>
        <w:rPr>
          <w:sz w:val="22"/>
          <w:szCs w:val="22"/>
        </w:rPr>
      </w:pPr>
      <w:r>
        <w:rPr>
          <w:rFonts w:ascii="Arial" w:eastAsia="Arial" w:hAnsi="Arial" w:cs="Arial"/>
          <w:sz w:val="22"/>
          <w:szCs w:val="22"/>
        </w:rPr>
        <w:t xml:space="preserve">Faculty did not meet  minimum participation in at least three extra-mentoring program activities. </w:t>
      </w:r>
    </w:p>
    <w:p w14:paraId="000000BB" w14:textId="77777777" w:rsidR="00FC14A1" w:rsidRDefault="00000000">
      <w:pPr>
        <w:numPr>
          <w:ilvl w:val="0"/>
          <w:numId w:val="4"/>
        </w:numPr>
        <w:spacing w:line="240" w:lineRule="auto"/>
        <w:ind w:left="0" w:hanging="2"/>
        <w:rPr>
          <w:sz w:val="22"/>
          <w:szCs w:val="22"/>
        </w:rPr>
      </w:pPr>
      <w:r>
        <w:rPr>
          <w:rFonts w:ascii="Arial" w:eastAsia="Arial" w:hAnsi="Arial" w:cs="Arial"/>
          <w:sz w:val="22"/>
          <w:szCs w:val="22"/>
        </w:rPr>
        <w:lastRenderedPageBreak/>
        <w:t xml:space="preserve">Mentored students are not in compliance with the program required milestones. </w:t>
      </w:r>
    </w:p>
    <w:p w14:paraId="000000BC" w14:textId="77777777" w:rsidR="00FC14A1" w:rsidRDefault="00000000">
      <w:pPr>
        <w:numPr>
          <w:ilvl w:val="0"/>
          <w:numId w:val="4"/>
        </w:numPr>
        <w:spacing w:line="240" w:lineRule="auto"/>
        <w:ind w:left="0" w:hanging="2"/>
        <w:rPr>
          <w:sz w:val="22"/>
          <w:szCs w:val="22"/>
        </w:rPr>
      </w:pPr>
      <w:r>
        <w:rPr>
          <w:rFonts w:ascii="Arial" w:eastAsia="Arial" w:hAnsi="Arial" w:cs="Arial"/>
          <w:sz w:val="22"/>
          <w:szCs w:val="22"/>
        </w:rPr>
        <w:t xml:space="preserve">Mentored students exceed the program’s average  time-to-graduation in the absence of extenuating circumstances or approval by the PhD Program Director and Executive Committee </w:t>
      </w:r>
    </w:p>
    <w:p w14:paraId="000000BD" w14:textId="77777777" w:rsidR="00FC14A1" w:rsidRDefault="00FC14A1">
      <w:pPr>
        <w:spacing w:line="240" w:lineRule="auto"/>
        <w:ind w:left="0" w:hanging="2"/>
        <w:rPr>
          <w:rFonts w:ascii="Arial" w:eastAsia="Arial" w:hAnsi="Arial" w:cs="Arial"/>
          <w:sz w:val="22"/>
          <w:szCs w:val="22"/>
        </w:rPr>
      </w:pPr>
    </w:p>
    <w:p w14:paraId="000000BE" w14:textId="77777777" w:rsidR="00FC14A1" w:rsidRDefault="00000000">
      <w:pPr>
        <w:spacing w:line="240" w:lineRule="auto"/>
        <w:ind w:left="0" w:hanging="2"/>
        <w:rPr>
          <w:rFonts w:ascii="Arial" w:eastAsia="Arial" w:hAnsi="Arial" w:cs="Arial"/>
          <w:sz w:val="22"/>
          <w:szCs w:val="22"/>
        </w:rPr>
      </w:pPr>
      <w:r>
        <w:rPr>
          <w:rFonts w:ascii="Arial" w:eastAsia="Arial" w:hAnsi="Arial" w:cs="Arial"/>
          <w:sz w:val="22"/>
          <w:szCs w:val="22"/>
        </w:rPr>
        <w:t>Faculty who receive a warning for any reason for two consecutive evaluation periods will be put on probation and will not be allowed to recruit rotation or permanent students to their labs for one year. Faculty/mentors who are on probation twice, or for more than one year,  will be dismissed from the program. Faculty/mentors who have not mentored a student for rotation or doctoral thesis work for over five years and have not participated in program activities will also be dismissed from the program.</w:t>
      </w:r>
    </w:p>
    <w:p w14:paraId="000000BF" w14:textId="77777777" w:rsidR="00FC14A1" w:rsidRDefault="00FC14A1">
      <w:pPr>
        <w:spacing w:line="240" w:lineRule="auto"/>
        <w:ind w:left="0" w:hanging="2"/>
        <w:rPr>
          <w:rFonts w:ascii="Arial" w:eastAsia="Arial" w:hAnsi="Arial" w:cs="Arial"/>
          <w:sz w:val="22"/>
          <w:szCs w:val="22"/>
        </w:rPr>
      </w:pPr>
    </w:p>
    <w:p w14:paraId="000000C0" w14:textId="77777777" w:rsidR="00FC14A1" w:rsidRDefault="00000000">
      <w:pPr>
        <w:numPr>
          <w:ilvl w:val="0"/>
          <w:numId w:val="3"/>
        </w:numPr>
        <w:spacing w:line="240" w:lineRule="auto"/>
        <w:ind w:left="0" w:hanging="2"/>
        <w:rPr>
          <w:rFonts w:ascii="Arial" w:eastAsia="Arial" w:hAnsi="Arial" w:cs="Arial"/>
          <w:sz w:val="22"/>
          <w:szCs w:val="22"/>
        </w:rPr>
      </w:pPr>
      <w:r>
        <w:rPr>
          <w:rFonts w:ascii="Arial" w:eastAsia="Arial" w:hAnsi="Arial" w:cs="Arial"/>
          <w:b/>
          <w:sz w:val="22"/>
          <w:szCs w:val="22"/>
        </w:rPr>
        <w:t>FACULTY REINSTATEMENT.</w:t>
      </w:r>
      <w:r>
        <w:rPr>
          <w:rFonts w:ascii="Arial" w:eastAsia="Arial" w:hAnsi="Arial" w:cs="Arial"/>
          <w:sz w:val="22"/>
          <w:szCs w:val="22"/>
        </w:rPr>
        <w:t xml:space="preserve"> Faculty who have been dismissed  from the program must reapply to be considered for future affiliation. A new, unanimous vote by the PhD Program Executive Committee will be required and a new letter of commitment will be presented for signatures. Reinstatement will be made only once. If a reinstated faculty member is removed from the program for  a second time, they will not be considered for reaffiliation.</w:t>
      </w:r>
    </w:p>
    <w:p w14:paraId="000000C1" w14:textId="77777777" w:rsidR="00FC14A1" w:rsidRDefault="00FC14A1">
      <w:pPr>
        <w:spacing w:line="240" w:lineRule="auto"/>
        <w:ind w:left="0" w:hanging="2"/>
        <w:rPr>
          <w:rFonts w:ascii="Arial" w:eastAsia="Arial" w:hAnsi="Arial" w:cs="Arial"/>
          <w:sz w:val="22"/>
          <w:szCs w:val="22"/>
        </w:rPr>
      </w:pPr>
    </w:p>
    <w:p w14:paraId="000000C2" w14:textId="77777777" w:rsidR="00FC14A1" w:rsidRDefault="00000000">
      <w:pPr>
        <w:numPr>
          <w:ilvl w:val="0"/>
          <w:numId w:val="3"/>
        </w:numPr>
        <w:spacing w:line="240" w:lineRule="auto"/>
        <w:ind w:left="0" w:hanging="2"/>
        <w:rPr>
          <w:rFonts w:ascii="Arial" w:eastAsia="Arial" w:hAnsi="Arial" w:cs="Arial"/>
          <w:sz w:val="22"/>
          <w:szCs w:val="22"/>
        </w:rPr>
      </w:pPr>
      <w:r>
        <w:rPr>
          <w:rFonts w:ascii="Arial" w:eastAsia="Arial" w:hAnsi="Arial" w:cs="Arial"/>
          <w:b/>
          <w:sz w:val="22"/>
          <w:szCs w:val="22"/>
        </w:rPr>
        <w:t>SPECIAL REQUIREMENTS FOR JUNIOR FACULTY/MENTORS AND OFF CAMPUS FACULTY/MENTORS.</w:t>
      </w:r>
      <w:r>
        <w:rPr>
          <w:rFonts w:ascii="Arial" w:eastAsia="Arial" w:hAnsi="Arial" w:cs="Arial"/>
          <w:sz w:val="22"/>
          <w:szCs w:val="22"/>
        </w:rPr>
        <w:t xml:space="preserve"> </w:t>
      </w:r>
    </w:p>
    <w:p w14:paraId="000000C3" w14:textId="77777777" w:rsidR="00FC14A1" w:rsidRDefault="00FC14A1">
      <w:pPr>
        <w:spacing w:line="240" w:lineRule="auto"/>
        <w:ind w:left="0" w:hanging="2"/>
        <w:rPr>
          <w:rFonts w:ascii="Arial" w:eastAsia="Arial" w:hAnsi="Arial" w:cs="Arial"/>
          <w:b/>
          <w:sz w:val="22"/>
          <w:szCs w:val="22"/>
        </w:rPr>
      </w:pPr>
    </w:p>
    <w:p w14:paraId="000000C4" w14:textId="77777777" w:rsidR="00FC14A1" w:rsidRDefault="00000000">
      <w:pPr>
        <w:spacing w:line="240" w:lineRule="auto"/>
        <w:ind w:left="0" w:hanging="2"/>
        <w:rPr>
          <w:rFonts w:ascii="Arial" w:eastAsia="Arial" w:hAnsi="Arial" w:cs="Arial"/>
          <w:sz w:val="22"/>
          <w:szCs w:val="22"/>
        </w:rPr>
      </w:pPr>
      <w:r>
        <w:rPr>
          <w:rFonts w:ascii="Arial" w:eastAsia="Arial" w:hAnsi="Arial" w:cs="Arial"/>
          <w:b/>
          <w:sz w:val="22"/>
          <w:szCs w:val="22"/>
        </w:rPr>
        <w:t>ON CAMPUS JUNIOR FACULTY/MENTORS</w:t>
      </w:r>
      <w:r>
        <w:rPr>
          <w:rFonts w:ascii="Arial" w:eastAsia="Arial" w:hAnsi="Arial" w:cs="Arial"/>
          <w:sz w:val="22"/>
          <w:szCs w:val="22"/>
        </w:rPr>
        <w:t xml:space="preserve"> Junior faculty members without a proven training record of graduating students from the PhD Program in Neuroscience at SBU will not be allowed to recruit more than one student from the same cohort. Furthermore, junior faculty/mentors will be allowed to recruit a second student for rotations only after the first student has successfully completed their qualifying exam and advanced to PhD candidacy. Junior faculty members in the Department of Neurobiology and Behavior may request an exception to this rule that needs to be supported by the junior faculty mentoring committee and approved by the Program Executive Committee. Exceptions are not allowed for faculty outside the Program’s home department.</w:t>
      </w:r>
    </w:p>
    <w:p w14:paraId="000000C5" w14:textId="77777777" w:rsidR="00FC14A1" w:rsidRDefault="00FC14A1">
      <w:pPr>
        <w:spacing w:line="240" w:lineRule="auto"/>
        <w:ind w:left="0" w:hanging="2"/>
        <w:rPr>
          <w:rFonts w:ascii="Arial" w:eastAsia="Arial" w:hAnsi="Arial" w:cs="Arial"/>
          <w:sz w:val="22"/>
          <w:szCs w:val="22"/>
        </w:rPr>
      </w:pPr>
    </w:p>
    <w:p w14:paraId="000000C6" w14:textId="77777777" w:rsidR="00FC14A1" w:rsidRDefault="00000000">
      <w:pPr>
        <w:spacing w:line="240" w:lineRule="auto"/>
        <w:ind w:left="0" w:hanging="2"/>
        <w:rPr>
          <w:rFonts w:ascii="Arial" w:eastAsia="Arial" w:hAnsi="Arial" w:cs="Arial"/>
          <w:sz w:val="22"/>
          <w:szCs w:val="22"/>
        </w:rPr>
      </w:pPr>
      <w:r>
        <w:rPr>
          <w:rFonts w:ascii="Arial" w:eastAsia="Arial" w:hAnsi="Arial" w:cs="Arial"/>
          <w:sz w:val="22"/>
          <w:szCs w:val="22"/>
        </w:rPr>
        <w:t xml:space="preserve">Junior and senior program faculty/mentors outside of the Department of Neurobiology and Behavior can recruit students for rotations but will not be allowed to have more than one student join their lab for their doctoral thesis before a previously accepted student has advanced to candidacy. </w:t>
      </w:r>
      <w:r>
        <w:rPr>
          <w:rFonts w:ascii="Arial" w:eastAsia="Arial" w:hAnsi="Arial" w:cs="Arial"/>
          <w:i/>
          <w:sz w:val="22"/>
          <w:szCs w:val="22"/>
        </w:rPr>
        <w:t>This requirement cannot be waived</w:t>
      </w:r>
      <w:r>
        <w:rPr>
          <w:rFonts w:ascii="Arial" w:eastAsia="Arial" w:hAnsi="Arial" w:cs="Arial"/>
          <w:sz w:val="22"/>
          <w:szCs w:val="22"/>
        </w:rPr>
        <w:t xml:space="preserve">. </w:t>
      </w:r>
    </w:p>
    <w:p w14:paraId="000000C7" w14:textId="77777777" w:rsidR="00FC14A1" w:rsidRDefault="00FC14A1">
      <w:pPr>
        <w:spacing w:line="240" w:lineRule="auto"/>
        <w:ind w:left="0" w:hanging="2"/>
        <w:rPr>
          <w:rFonts w:ascii="Arial" w:eastAsia="Arial" w:hAnsi="Arial" w:cs="Arial"/>
          <w:sz w:val="22"/>
          <w:szCs w:val="22"/>
        </w:rPr>
      </w:pPr>
    </w:p>
    <w:p w14:paraId="000000C8" w14:textId="77777777" w:rsidR="00FC14A1" w:rsidRDefault="00000000">
      <w:pPr>
        <w:spacing w:line="240" w:lineRule="auto"/>
        <w:ind w:left="0" w:hanging="2"/>
        <w:rPr>
          <w:rFonts w:ascii="Arial" w:eastAsia="Arial" w:hAnsi="Arial" w:cs="Arial"/>
          <w:b/>
          <w:sz w:val="22"/>
          <w:szCs w:val="22"/>
        </w:rPr>
      </w:pPr>
      <w:r>
        <w:rPr>
          <w:rFonts w:ascii="Arial" w:eastAsia="Arial" w:hAnsi="Arial" w:cs="Arial"/>
          <w:b/>
          <w:sz w:val="22"/>
          <w:szCs w:val="22"/>
        </w:rPr>
        <w:t xml:space="preserve">REQUIREMENT OF MENTORING TRAINING </w:t>
      </w:r>
    </w:p>
    <w:p w14:paraId="000000C9" w14:textId="77777777" w:rsidR="00FC14A1" w:rsidRDefault="00000000">
      <w:pPr>
        <w:numPr>
          <w:ilvl w:val="0"/>
          <w:numId w:val="3"/>
        </w:numPr>
        <w:spacing w:line="240" w:lineRule="auto"/>
        <w:ind w:left="0" w:hanging="2"/>
        <w:rPr>
          <w:rFonts w:ascii="Arial" w:eastAsia="Arial" w:hAnsi="Arial" w:cs="Arial"/>
          <w:sz w:val="22"/>
          <w:szCs w:val="22"/>
        </w:rPr>
      </w:pPr>
      <w:r>
        <w:rPr>
          <w:rFonts w:ascii="Arial" w:eastAsia="Arial" w:hAnsi="Arial" w:cs="Arial"/>
          <w:sz w:val="22"/>
          <w:szCs w:val="22"/>
        </w:rPr>
        <w:t xml:space="preserve">New Program faculty are required to participate in at least one mentoring workshop before accepting students for rotations or thesis work. </w:t>
      </w:r>
      <w:r>
        <w:rPr>
          <w:rFonts w:ascii="Arial" w:eastAsia="Arial" w:hAnsi="Arial" w:cs="Arial"/>
          <w:b/>
          <w:sz w:val="22"/>
          <w:szCs w:val="22"/>
        </w:rPr>
        <w:t>Off campus</w:t>
      </w:r>
      <w:r>
        <w:rPr>
          <w:rFonts w:ascii="Arial" w:eastAsia="Arial" w:hAnsi="Arial" w:cs="Arial"/>
          <w:sz w:val="22"/>
          <w:szCs w:val="22"/>
        </w:rPr>
        <w:t xml:space="preserve"> new faculty are required to participate in at least one mentoring workshop organized by Program Committee members and are required to recruit a senior faculty member from the Program Committee as co-advisor. These requirements are in place until completion of the degree of their first student in the program and may be reinstated in case of probation (see above).</w:t>
      </w:r>
    </w:p>
    <w:p w14:paraId="000000CA" w14:textId="77777777" w:rsidR="00FC14A1" w:rsidRDefault="00FC14A1">
      <w:pPr>
        <w:spacing w:line="240" w:lineRule="auto"/>
        <w:ind w:left="0" w:hanging="2"/>
        <w:rPr>
          <w:rFonts w:ascii="Arial" w:eastAsia="Arial" w:hAnsi="Arial" w:cs="Arial"/>
          <w:sz w:val="22"/>
          <w:szCs w:val="22"/>
        </w:rPr>
      </w:pPr>
    </w:p>
    <w:p w14:paraId="000000CB" w14:textId="77777777" w:rsidR="00FC14A1" w:rsidRDefault="00000000">
      <w:pPr>
        <w:numPr>
          <w:ilvl w:val="0"/>
          <w:numId w:val="3"/>
        </w:numPr>
        <w:spacing w:line="240" w:lineRule="auto"/>
        <w:ind w:left="0" w:hanging="2"/>
        <w:rPr>
          <w:rFonts w:ascii="Arial" w:eastAsia="Arial" w:hAnsi="Arial" w:cs="Arial"/>
          <w:b/>
          <w:sz w:val="22"/>
          <w:szCs w:val="22"/>
        </w:rPr>
      </w:pPr>
      <w:r>
        <w:rPr>
          <w:rFonts w:ascii="Arial" w:eastAsia="Arial" w:hAnsi="Arial" w:cs="Arial"/>
          <w:b/>
          <w:sz w:val="22"/>
          <w:szCs w:val="22"/>
        </w:rPr>
        <w:t>Program Faculty at every level of seniority are required to participate in a Mentoring Discussion group once yearly. This requirement is for all Program Faculty on and off campus.</w:t>
      </w:r>
    </w:p>
    <w:p w14:paraId="000000CC" w14:textId="77777777" w:rsidR="00FC14A1" w:rsidRDefault="00FC14A1">
      <w:pPr>
        <w:ind w:left="1" w:hanging="3"/>
        <w:rPr>
          <w:rFonts w:ascii="Arial" w:eastAsia="Arial" w:hAnsi="Arial" w:cs="Arial"/>
          <w:b/>
          <w:sz w:val="28"/>
          <w:szCs w:val="28"/>
        </w:rPr>
      </w:pPr>
    </w:p>
    <w:p w14:paraId="000000CD" w14:textId="77777777" w:rsidR="00FC14A1" w:rsidRDefault="00000000">
      <w:pPr>
        <w:ind w:left="1" w:hanging="3"/>
        <w:rPr>
          <w:rFonts w:ascii="Arial" w:eastAsia="Arial" w:hAnsi="Arial" w:cs="Arial"/>
          <w:sz w:val="28"/>
          <w:szCs w:val="28"/>
        </w:rPr>
      </w:pPr>
      <w:r>
        <w:rPr>
          <w:rFonts w:ascii="Arial" w:eastAsia="Arial" w:hAnsi="Arial" w:cs="Arial"/>
          <w:b/>
          <w:sz w:val="28"/>
          <w:szCs w:val="28"/>
        </w:rPr>
        <w:lastRenderedPageBreak/>
        <w:t>DISSERTATION ADVISORS</w:t>
      </w:r>
    </w:p>
    <w:p w14:paraId="000000CE" w14:textId="77777777" w:rsidR="00FC14A1" w:rsidRDefault="00000000">
      <w:pPr>
        <w:ind w:left="1" w:hanging="3"/>
        <w:rPr>
          <w:rFonts w:ascii="Arial" w:eastAsia="Arial" w:hAnsi="Arial" w:cs="Arial"/>
          <w:b/>
          <w:sz w:val="28"/>
          <w:szCs w:val="28"/>
        </w:rPr>
      </w:pPr>
      <w:r>
        <w:rPr>
          <w:rFonts w:ascii="Arial" w:eastAsia="Arial" w:hAnsi="Arial" w:cs="Arial"/>
          <w:b/>
          <w:sz w:val="28"/>
          <w:szCs w:val="28"/>
        </w:rPr>
        <w:t>DISSERTATION COMMITTEE CHAIRS</w:t>
      </w:r>
    </w:p>
    <w:p w14:paraId="000000CF" w14:textId="77777777" w:rsidR="00FC14A1" w:rsidRDefault="00000000">
      <w:pPr>
        <w:ind w:left="1" w:hanging="3"/>
        <w:rPr>
          <w:rFonts w:ascii="Arial" w:eastAsia="Arial" w:hAnsi="Arial" w:cs="Arial"/>
          <w:b/>
          <w:sz w:val="28"/>
          <w:szCs w:val="28"/>
        </w:rPr>
      </w:pPr>
      <w:r>
        <w:rPr>
          <w:rFonts w:ascii="Arial" w:eastAsia="Arial" w:hAnsi="Arial" w:cs="Arial"/>
          <w:b/>
          <w:sz w:val="28"/>
          <w:szCs w:val="28"/>
        </w:rPr>
        <w:t>(see above for comparable section for students)</w:t>
      </w:r>
    </w:p>
    <w:p w14:paraId="000000D0" w14:textId="77777777" w:rsidR="00FC14A1" w:rsidRDefault="00FC14A1">
      <w:pPr>
        <w:ind w:left="0" w:hanging="2"/>
        <w:rPr>
          <w:rFonts w:ascii="Arial" w:eastAsia="Arial" w:hAnsi="Arial" w:cs="Arial"/>
          <w:sz w:val="22"/>
          <w:szCs w:val="22"/>
        </w:rPr>
      </w:pPr>
    </w:p>
    <w:p w14:paraId="000000D1"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1. RESEARCH PUBLICATIONS: STUDENT CITATIONS. </w:t>
      </w:r>
      <w:r>
        <w:rPr>
          <w:rFonts w:ascii="Arial" w:eastAsia="Arial" w:hAnsi="Arial" w:cs="Arial"/>
          <w:sz w:val="22"/>
          <w:szCs w:val="22"/>
        </w:rPr>
        <w:t>All published research that</w:t>
      </w:r>
    </w:p>
    <w:p w14:paraId="000000D2" w14:textId="77777777" w:rsidR="00FC14A1" w:rsidRDefault="00000000">
      <w:pPr>
        <w:ind w:left="0" w:hanging="2"/>
        <w:rPr>
          <w:rFonts w:ascii="Arial" w:eastAsia="Arial" w:hAnsi="Arial" w:cs="Arial"/>
          <w:sz w:val="22"/>
          <w:szCs w:val="22"/>
        </w:rPr>
      </w:pPr>
      <w:r>
        <w:rPr>
          <w:rFonts w:ascii="Arial" w:eastAsia="Arial" w:hAnsi="Arial" w:cs="Arial"/>
          <w:sz w:val="22"/>
          <w:szCs w:val="22"/>
        </w:rPr>
        <w:t>includes Program students as authors must cite the student’s institutional affiliation as:</w:t>
      </w:r>
    </w:p>
    <w:p w14:paraId="000000D3" w14:textId="77777777" w:rsidR="00FC14A1" w:rsidRDefault="00000000">
      <w:pPr>
        <w:ind w:left="0" w:hanging="2"/>
        <w:rPr>
          <w:rFonts w:ascii="Arial" w:eastAsia="Arial" w:hAnsi="Arial" w:cs="Arial"/>
        </w:rPr>
      </w:pPr>
      <w:r>
        <w:rPr>
          <w:rFonts w:ascii="Arial" w:eastAsia="Arial" w:hAnsi="Arial" w:cs="Arial"/>
          <w:b/>
        </w:rPr>
        <w:t>Graduate Program in Neuroscience, Stony Brook University.</w:t>
      </w:r>
    </w:p>
    <w:p w14:paraId="000000D4" w14:textId="77777777" w:rsidR="00FC14A1" w:rsidRDefault="00FC14A1">
      <w:pPr>
        <w:ind w:left="0" w:hanging="2"/>
        <w:rPr>
          <w:rFonts w:ascii="Arial" w:eastAsia="Arial" w:hAnsi="Arial" w:cs="Arial"/>
        </w:rPr>
      </w:pPr>
    </w:p>
    <w:p w14:paraId="000000D5"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1. THESIS COMMITTEE &amp; QUALIFYING EXAM. </w:t>
      </w:r>
      <w:r>
        <w:rPr>
          <w:rFonts w:ascii="Arial" w:eastAsia="Arial" w:hAnsi="Arial" w:cs="Arial"/>
          <w:sz w:val="22"/>
          <w:szCs w:val="22"/>
        </w:rPr>
        <w:t xml:space="preserve">Students are expected to recruit a thesis committee and take their qualifying exam by the summer of their second year in the PhD Program in Neuroscience. The thesis committee must include the faculty/mentor and at least one member of the program committee. Additional program faculty can also be included. The external committee member may be recruited at the time of qualifying exam or at a later date. At the time of the qualifying exam, the committee will select a chair, who must be a Program faculty member of associate professor rank or higher who is </w:t>
      </w:r>
      <w:r>
        <w:rPr>
          <w:rFonts w:ascii="Arial" w:eastAsia="Arial" w:hAnsi="Arial" w:cs="Arial"/>
          <w:b/>
          <w:sz w:val="22"/>
          <w:szCs w:val="22"/>
        </w:rPr>
        <w:t xml:space="preserve">not </w:t>
      </w:r>
      <w:r>
        <w:rPr>
          <w:rFonts w:ascii="Arial" w:eastAsia="Arial" w:hAnsi="Arial" w:cs="Arial"/>
          <w:sz w:val="22"/>
          <w:szCs w:val="22"/>
        </w:rPr>
        <w:t xml:space="preserve">the student’s mentor. </w:t>
      </w:r>
      <w:r>
        <w:rPr>
          <w:rFonts w:ascii="Arial" w:eastAsia="Arial" w:hAnsi="Arial" w:cs="Arial"/>
          <w:b/>
          <w:i/>
          <w:sz w:val="22"/>
          <w:szCs w:val="22"/>
        </w:rPr>
        <w:t>For students doing research off campus, the committee chair must be a member of the Program Committee</w:t>
      </w:r>
      <w:r>
        <w:rPr>
          <w:rFonts w:ascii="Arial" w:eastAsia="Arial" w:hAnsi="Arial" w:cs="Arial"/>
          <w:sz w:val="22"/>
          <w:szCs w:val="22"/>
        </w:rPr>
        <w:t>. The qualifying exam is in the format of a thesis proposal defense. Students are expected to write a thesis proposal following the guidelines for an NIH fellowship application and defend it in a closed door meeting with their committee. Passing the thesis proposal defense is required to advance to PhD candidacy. In case of a “no pass” grade from the committee, the student may be allowed to discuss the thesis proposal a second time or be dismissed from the program. This decision is discussed by the mentor, members of the thesis committee and voted on by the PhD Program Director and the Executive Committee. If a second attempt at the qualifying exam is allowed, a second “no pass” grade will be grounds for dismissal from the program.</w:t>
      </w:r>
    </w:p>
    <w:p w14:paraId="000000D6" w14:textId="77777777" w:rsidR="00FC14A1" w:rsidRDefault="00000000">
      <w:pPr>
        <w:ind w:left="0" w:hanging="2"/>
        <w:rPr>
          <w:rFonts w:ascii="Arial" w:eastAsia="Arial" w:hAnsi="Arial" w:cs="Arial"/>
          <w:sz w:val="22"/>
          <w:szCs w:val="22"/>
        </w:rPr>
      </w:pPr>
      <w:r>
        <w:rPr>
          <w:rFonts w:ascii="Arial" w:eastAsia="Arial" w:hAnsi="Arial" w:cs="Arial"/>
          <w:sz w:val="22"/>
          <w:szCs w:val="22"/>
        </w:rPr>
        <w:t>The qualifying exam is expected to be scheduled in the summer following the end of the second academic year. Any delay in scheduling needs to be brought to the attention of the PhD Program Director by the student and their mentor. The Executive Committee will be engaged to evaluate the situation and vote on whether to support or deny the delay. A unanimous vote is required. Students who are delayed in scheduling the qualifying exam without prior approval will not be considered in good standing with the program. This may result in a warning to the faculty/mentor. A delay of longer than one semester may result in a second warning and probation. The student will not be considered in good standing and may be required to select a different thesis adviser upon consultation with the Executive Committee.</w:t>
      </w:r>
    </w:p>
    <w:p w14:paraId="000000D7" w14:textId="77777777" w:rsidR="00FC14A1" w:rsidRDefault="00FC14A1">
      <w:pPr>
        <w:ind w:left="0" w:hanging="2"/>
        <w:rPr>
          <w:rFonts w:ascii="Arial" w:eastAsia="Arial" w:hAnsi="Arial" w:cs="Arial"/>
          <w:sz w:val="22"/>
          <w:szCs w:val="22"/>
        </w:rPr>
      </w:pPr>
    </w:p>
    <w:p w14:paraId="000000D8" w14:textId="77777777" w:rsidR="00FC14A1" w:rsidRDefault="00000000">
      <w:pPr>
        <w:ind w:left="0" w:hanging="2"/>
        <w:rPr>
          <w:rFonts w:ascii="Arial" w:eastAsia="Arial" w:hAnsi="Arial" w:cs="Arial"/>
          <w:sz w:val="22"/>
          <w:szCs w:val="22"/>
        </w:rPr>
      </w:pPr>
      <w:r>
        <w:rPr>
          <w:rFonts w:ascii="Arial" w:eastAsia="Arial" w:hAnsi="Arial" w:cs="Arial"/>
          <w:b/>
          <w:sz w:val="22"/>
          <w:szCs w:val="22"/>
        </w:rPr>
        <w:t>2. DISSERTATION COMMITTEE</w:t>
      </w:r>
      <w:r>
        <w:rPr>
          <w:rFonts w:ascii="Arial" w:eastAsia="Arial" w:hAnsi="Arial" w:cs="Arial"/>
          <w:sz w:val="22"/>
          <w:szCs w:val="22"/>
        </w:rPr>
        <w:t xml:space="preserve">. The dissertation committee composition will normally be based on the initial thesis committee. A final committee will consist of a minimum of </w:t>
      </w:r>
      <w:r>
        <w:rPr>
          <w:rFonts w:ascii="Arial" w:eastAsia="Arial" w:hAnsi="Arial" w:cs="Arial"/>
          <w:b/>
          <w:sz w:val="22"/>
          <w:szCs w:val="22"/>
        </w:rPr>
        <w:t xml:space="preserve">four members, </w:t>
      </w:r>
      <w:r>
        <w:rPr>
          <w:rFonts w:ascii="Arial" w:eastAsia="Arial" w:hAnsi="Arial" w:cs="Arial"/>
          <w:sz w:val="22"/>
          <w:szCs w:val="22"/>
        </w:rPr>
        <w:t xml:space="preserve">including the student's mentor, two additional Program members (with at least one member of the Program committee), and one additional member from outside the Program (advisor + 2 + outside), though the outside member does not have to be selected immediately. Students are encouraged to have more members than those minimally required. </w:t>
      </w:r>
    </w:p>
    <w:p w14:paraId="000000D9" w14:textId="77777777" w:rsidR="00FC14A1" w:rsidRDefault="00000000">
      <w:pPr>
        <w:ind w:left="0" w:hanging="2"/>
        <w:rPr>
          <w:rFonts w:ascii="Arial" w:eastAsia="Arial" w:hAnsi="Arial" w:cs="Arial"/>
          <w:sz w:val="22"/>
          <w:szCs w:val="22"/>
        </w:rPr>
      </w:pPr>
      <w:r>
        <w:rPr>
          <w:rFonts w:ascii="Arial" w:eastAsia="Arial" w:hAnsi="Arial" w:cs="Arial"/>
          <w:b/>
          <w:sz w:val="22"/>
          <w:szCs w:val="22"/>
        </w:rPr>
        <w:t>Outside Member</w:t>
      </w:r>
      <w:r>
        <w:rPr>
          <w:rFonts w:ascii="Arial" w:eastAsia="Arial" w:hAnsi="Arial" w:cs="Arial"/>
          <w:sz w:val="22"/>
          <w:szCs w:val="22"/>
        </w:rPr>
        <w:t xml:space="preserve">: for the outside member of the committee, students are encouraged to seek out experts in the field from institutions other than Stony Brook. An outside member, however, does not need to be selected for the initial dissertation committee meetings, typically those during years 3 and 4. However, we encourage the student to select and recruit an outside member as soon as possible. This will enhance the quality </w:t>
      </w:r>
      <w:r>
        <w:rPr>
          <w:rFonts w:ascii="Arial" w:eastAsia="Arial" w:hAnsi="Arial" w:cs="Arial"/>
          <w:sz w:val="22"/>
          <w:szCs w:val="22"/>
        </w:rPr>
        <w:lastRenderedPageBreak/>
        <w:t>of the science and speed up progress. Also, outside members need not be present at all dissertation committee meetings and can utilize video or teleconferencing if necessary to participate in meetings or the dissertation defense. The outside member cannot be a collaborator or co-author of the student, as this is considered grounds for conflict of interest.</w:t>
      </w:r>
    </w:p>
    <w:p w14:paraId="000000DA" w14:textId="77777777" w:rsidR="00FC14A1" w:rsidRDefault="00000000">
      <w:pPr>
        <w:ind w:left="0" w:hanging="2"/>
        <w:rPr>
          <w:rFonts w:ascii="Arial" w:eastAsia="Arial" w:hAnsi="Arial" w:cs="Arial"/>
          <w:sz w:val="22"/>
          <w:szCs w:val="22"/>
        </w:rPr>
      </w:pPr>
      <w:r>
        <w:rPr>
          <w:rFonts w:ascii="Arial" w:eastAsia="Arial" w:hAnsi="Arial" w:cs="Arial"/>
          <w:b/>
          <w:i/>
          <w:sz w:val="22"/>
          <w:szCs w:val="22"/>
        </w:rPr>
        <w:t>The dissertation committee, including a named outside member, must be</w:t>
      </w:r>
    </w:p>
    <w:p w14:paraId="000000DB" w14:textId="77777777" w:rsidR="00FC14A1" w:rsidRDefault="00000000">
      <w:pPr>
        <w:ind w:left="0" w:hanging="2"/>
        <w:rPr>
          <w:rFonts w:ascii="Arial" w:eastAsia="Arial" w:hAnsi="Arial" w:cs="Arial"/>
          <w:sz w:val="22"/>
          <w:szCs w:val="22"/>
        </w:rPr>
      </w:pPr>
      <w:r>
        <w:rPr>
          <w:rFonts w:ascii="Arial" w:eastAsia="Arial" w:hAnsi="Arial" w:cs="Arial"/>
          <w:b/>
          <w:i/>
          <w:sz w:val="22"/>
          <w:szCs w:val="22"/>
        </w:rPr>
        <w:t>formally proposed to and approved by the Graduate Committee and by the Graduate School at the time of Application to Graduation. This includes supplying biographical information about the Outside committee member.</w:t>
      </w:r>
    </w:p>
    <w:p w14:paraId="000000DC" w14:textId="77777777" w:rsidR="00FC14A1" w:rsidRDefault="00FC14A1">
      <w:pPr>
        <w:ind w:left="0" w:hanging="2"/>
        <w:rPr>
          <w:rFonts w:ascii="Arial" w:eastAsia="Arial" w:hAnsi="Arial" w:cs="Arial"/>
          <w:sz w:val="22"/>
          <w:szCs w:val="22"/>
        </w:rPr>
      </w:pPr>
    </w:p>
    <w:p w14:paraId="000000DD" w14:textId="77777777" w:rsidR="00FC14A1" w:rsidRDefault="00000000">
      <w:pPr>
        <w:ind w:left="0" w:hanging="2"/>
        <w:rPr>
          <w:rFonts w:ascii="Arial" w:eastAsia="Arial" w:hAnsi="Arial" w:cs="Arial"/>
          <w:sz w:val="22"/>
          <w:szCs w:val="22"/>
        </w:rPr>
      </w:pPr>
      <w:r>
        <w:rPr>
          <w:rFonts w:ascii="Arial" w:eastAsia="Arial" w:hAnsi="Arial" w:cs="Arial"/>
          <w:b/>
          <w:sz w:val="22"/>
          <w:szCs w:val="22"/>
        </w:rPr>
        <w:t>2. DISSERTATION COMMITTEE MEETINGS</w:t>
      </w:r>
      <w:r>
        <w:rPr>
          <w:rFonts w:ascii="Arial" w:eastAsia="Arial" w:hAnsi="Arial" w:cs="Arial"/>
          <w:sz w:val="22"/>
          <w:szCs w:val="22"/>
        </w:rPr>
        <w:t xml:space="preserve">. The dissertation committee is to be convened every six to twelve months. </w:t>
      </w:r>
      <w:r>
        <w:rPr>
          <w:rFonts w:ascii="Arial" w:eastAsia="Arial" w:hAnsi="Arial" w:cs="Arial"/>
          <w:b/>
          <w:i/>
          <w:sz w:val="22"/>
          <w:szCs w:val="22"/>
        </w:rPr>
        <w:t>It is the responsibility of the student that this requirement is met</w:t>
      </w:r>
      <w:r>
        <w:rPr>
          <w:rFonts w:ascii="Arial" w:eastAsia="Arial" w:hAnsi="Arial" w:cs="Arial"/>
          <w:b/>
          <w:sz w:val="22"/>
          <w:szCs w:val="22"/>
        </w:rPr>
        <w:t xml:space="preserve">. </w:t>
      </w:r>
      <w:r>
        <w:rPr>
          <w:rFonts w:ascii="Arial" w:eastAsia="Arial" w:hAnsi="Arial" w:cs="Arial"/>
          <w:b/>
          <w:i/>
          <w:sz w:val="22"/>
          <w:szCs w:val="22"/>
        </w:rPr>
        <w:t>The faculty mentor is expected to attend.</w:t>
      </w:r>
      <w:r>
        <w:rPr>
          <w:rFonts w:ascii="Arial" w:eastAsia="Arial" w:hAnsi="Arial" w:cs="Arial"/>
          <w:b/>
          <w:sz w:val="22"/>
          <w:szCs w:val="22"/>
        </w:rPr>
        <w:t xml:space="preserve">  </w:t>
      </w:r>
      <w:r>
        <w:rPr>
          <w:rFonts w:ascii="Arial" w:eastAsia="Arial" w:hAnsi="Arial" w:cs="Arial"/>
          <w:sz w:val="22"/>
          <w:szCs w:val="22"/>
        </w:rPr>
        <w:t>These regular meetings may be formal or informal, as agreed upon by the individual committee. After each meeting, the Dissertation Committee Chairperson must provide the PhD  Program with a written record of the meeting in a timely manner. These notices are generally brief summaries of discussions and future plans.</w:t>
      </w:r>
    </w:p>
    <w:p w14:paraId="000000DE" w14:textId="77777777" w:rsidR="00FC14A1" w:rsidRDefault="00FC14A1">
      <w:pPr>
        <w:ind w:left="0" w:hanging="2"/>
        <w:rPr>
          <w:rFonts w:ascii="Arial" w:eastAsia="Arial" w:hAnsi="Arial" w:cs="Arial"/>
          <w:sz w:val="22"/>
          <w:szCs w:val="22"/>
        </w:rPr>
      </w:pPr>
    </w:p>
    <w:p w14:paraId="000000DF" w14:textId="77777777" w:rsidR="00FC14A1" w:rsidRDefault="00000000">
      <w:pPr>
        <w:ind w:left="0" w:hanging="2"/>
        <w:rPr>
          <w:rFonts w:ascii="Arial" w:eastAsia="Arial" w:hAnsi="Arial" w:cs="Arial"/>
          <w:sz w:val="22"/>
          <w:szCs w:val="22"/>
        </w:rPr>
      </w:pPr>
      <w:r>
        <w:rPr>
          <w:rFonts w:ascii="Arial" w:eastAsia="Arial" w:hAnsi="Arial" w:cs="Arial"/>
          <w:b/>
          <w:sz w:val="22"/>
          <w:szCs w:val="22"/>
        </w:rPr>
        <w:t>3.</w:t>
      </w:r>
      <w:r>
        <w:rPr>
          <w:rFonts w:ascii="Arial" w:eastAsia="Arial" w:hAnsi="Arial" w:cs="Arial"/>
          <w:sz w:val="22"/>
          <w:szCs w:val="22"/>
        </w:rPr>
        <w:t xml:space="preserve"> </w:t>
      </w:r>
      <w:r>
        <w:rPr>
          <w:rFonts w:ascii="Arial" w:eastAsia="Arial" w:hAnsi="Arial" w:cs="Arial"/>
          <w:b/>
          <w:sz w:val="22"/>
          <w:szCs w:val="22"/>
        </w:rPr>
        <w:t xml:space="preserve">STUDENT SEMINARS: </w:t>
      </w:r>
      <w:r>
        <w:rPr>
          <w:rFonts w:ascii="Arial" w:eastAsia="Arial" w:hAnsi="Arial" w:cs="Arial"/>
          <w:sz w:val="22"/>
          <w:szCs w:val="22"/>
        </w:rPr>
        <w:t>All students who have advanced to candidacy are required to give a departmental seminar once each year describing their progress in their dissertation research. These public seminars are usually held in the Life Sciences  Building seminar room (038) at intervals during the Spring semester. Students are encouraged to schedule annual or semi-annual dissertation committee meetings concurrent with their seminars.</w:t>
      </w:r>
    </w:p>
    <w:p w14:paraId="000000E0" w14:textId="77777777" w:rsidR="00FC14A1" w:rsidRDefault="00FC14A1">
      <w:pPr>
        <w:ind w:left="0" w:hanging="2"/>
        <w:rPr>
          <w:rFonts w:ascii="Arial" w:eastAsia="Arial" w:hAnsi="Arial" w:cs="Arial"/>
          <w:sz w:val="22"/>
          <w:szCs w:val="22"/>
        </w:rPr>
      </w:pPr>
    </w:p>
    <w:p w14:paraId="000000E1" w14:textId="77777777" w:rsidR="00FC14A1" w:rsidRDefault="00000000">
      <w:pPr>
        <w:ind w:left="0" w:hanging="2"/>
        <w:rPr>
          <w:rFonts w:ascii="Noto Sans Symbols" w:eastAsia="Noto Sans Symbols" w:hAnsi="Noto Sans Symbols" w:cs="Noto Sans Symbols"/>
          <w:sz w:val="22"/>
          <w:szCs w:val="22"/>
        </w:rPr>
      </w:pPr>
      <w:r>
        <w:rPr>
          <w:rFonts w:ascii="Arial" w:eastAsia="Arial" w:hAnsi="Arial" w:cs="Arial"/>
          <w:b/>
          <w:sz w:val="22"/>
          <w:szCs w:val="22"/>
        </w:rPr>
        <w:t xml:space="preserve">4. DISSERTATION DEFENSE. </w:t>
      </w:r>
      <w:r>
        <w:rPr>
          <w:rFonts w:ascii="Arial" w:eastAsia="Arial" w:hAnsi="Arial" w:cs="Arial"/>
          <w:sz w:val="22"/>
          <w:szCs w:val="22"/>
        </w:rPr>
        <w:t xml:space="preserve">When the dissertation committee agrees that the dissertation research is completed, the student, advisor and chairperson of the committee should schedule a formal dissertation defense. The defense will consist of a complete, written dissertation that meets all requirements of the Graduate School and that is submitted to all members of the Thesis Committee </w:t>
      </w:r>
      <w:r>
        <w:rPr>
          <w:rFonts w:ascii="Arial" w:eastAsia="Arial" w:hAnsi="Arial" w:cs="Arial"/>
          <w:b/>
          <w:i/>
          <w:sz w:val="22"/>
          <w:szCs w:val="22"/>
        </w:rPr>
        <w:t>at least two weeks before</w:t>
      </w:r>
      <w:r>
        <w:rPr>
          <w:rFonts w:ascii="Arial" w:eastAsia="Arial" w:hAnsi="Arial" w:cs="Arial"/>
          <w:i/>
          <w:sz w:val="22"/>
          <w:szCs w:val="22"/>
        </w:rPr>
        <w:t xml:space="preserve"> </w:t>
      </w:r>
      <w:r>
        <w:rPr>
          <w:rFonts w:ascii="Arial" w:eastAsia="Arial" w:hAnsi="Arial" w:cs="Arial"/>
          <w:b/>
          <w:i/>
          <w:sz w:val="22"/>
          <w:szCs w:val="22"/>
        </w:rPr>
        <w:t>an oral defense</w:t>
      </w:r>
      <w:r>
        <w:rPr>
          <w:rFonts w:ascii="Arial" w:eastAsia="Arial" w:hAnsi="Arial" w:cs="Arial"/>
          <w:b/>
          <w:sz w:val="22"/>
          <w:szCs w:val="22"/>
        </w:rPr>
        <w:t xml:space="preserve">. </w:t>
      </w:r>
      <w:r>
        <w:rPr>
          <w:rFonts w:ascii="Arial" w:eastAsia="Arial" w:hAnsi="Arial" w:cs="Arial"/>
          <w:sz w:val="22"/>
          <w:szCs w:val="22"/>
        </w:rPr>
        <w:t>A thesis may include published or submitted manuscripts as component chapters, but must also contain:</w:t>
      </w:r>
      <w:r>
        <w:rPr>
          <w:rFonts w:ascii="Noto Sans Symbols" w:eastAsia="Noto Sans Symbols" w:hAnsi="Noto Sans Symbols" w:cs="Noto Sans Symbols"/>
          <w:sz w:val="22"/>
          <w:szCs w:val="22"/>
        </w:rPr>
        <w:t xml:space="preserve"> </w:t>
      </w:r>
    </w:p>
    <w:p w14:paraId="000000E2" w14:textId="77777777" w:rsidR="00FC14A1" w:rsidRDefault="00000000">
      <w:pPr>
        <w:ind w:left="0" w:hanging="2"/>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An extended introduction that reviews the relevant literature and appropriately frames</w:t>
      </w:r>
    </w:p>
    <w:p w14:paraId="000000E3" w14:textId="77777777" w:rsidR="00FC14A1" w:rsidRDefault="00000000">
      <w:pPr>
        <w:ind w:left="0" w:hanging="2"/>
        <w:rPr>
          <w:rFonts w:ascii="Noto Sans Symbols" w:eastAsia="Noto Sans Symbols" w:hAnsi="Noto Sans Symbols" w:cs="Noto Sans Symbols"/>
          <w:sz w:val="22"/>
          <w:szCs w:val="22"/>
        </w:rPr>
      </w:pPr>
      <w:r>
        <w:rPr>
          <w:rFonts w:ascii="Arial" w:eastAsia="Arial" w:hAnsi="Arial" w:cs="Arial"/>
          <w:sz w:val="22"/>
          <w:szCs w:val="22"/>
        </w:rPr>
        <w:t>the research questions</w:t>
      </w:r>
      <w:r>
        <w:rPr>
          <w:rFonts w:ascii="Noto Sans Symbols" w:eastAsia="Noto Sans Symbols" w:hAnsi="Noto Sans Symbols" w:cs="Noto Sans Symbols"/>
          <w:sz w:val="22"/>
          <w:szCs w:val="22"/>
        </w:rPr>
        <w:t xml:space="preserve"> </w:t>
      </w:r>
    </w:p>
    <w:p w14:paraId="000000E4" w14:textId="77777777" w:rsidR="00FC14A1" w:rsidRDefault="00000000">
      <w:pPr>
        <w:ind w:left="0" w:hanging="2"/>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A conclusion that summarizes the work and places results within a broader context.</w:t>
      </w:r>
    </w:p>
    <w:p w14:paraId="000000E5" w14:textId="77777777" w:rsidR="00FC14A1" w:rsidRDefault="00FC14A1">
      <w:pPr>
        <w:ind w:left="0" w:hanging="2"/>
        <w:rPr>
          <w:rFonts w:ascii="Arial" w:eastAsia="Arial" w:hAnsi="Arial" w:cs="Arial"/>
          <w:sz w:val="22"/>
          <w:szCs w:val="22"/>
        </w:rPr>
      </w:pPr>
    </w:p>
    <w:p w14:paraId="000000E6" w14:textId="77777777" w:rsidR="00FC14A1" w:rsidRDefault="00000000">
      <w:pPr>
        <w:ind w:left="0" w:hanging="2"/>
        <w:rPr>
          <w:rFonts w:ascii="Arial" w:eastAsia="Arial" w:hAnsi="Arial" w:cs="Arial"/>
          <w:sz w:val="22"/>
          <w:szCs w:val="22"/>
        </w:rPr>
      </w:pPr>
      <w:r>
        <w:rPr>
          <w:rFonts w:ascii="Arial" w:eastAsia="Arial" w:hAnsi="Arial" w:cs="Arial"/>
          <w:sz w:val="22"/>
          <w:szCs w:val="22"/>
        </w:rPr>
        <w:t>The oral defense of the thesis will include a public seminar given to the Program at large. In compliance with the guidelines of the Graduate School, this public presentation must take place on the Stony Brook campus, preferably in the Life Sciences Building Seminar Room (038). The public address is followed by a defense of the work and its</w:t>
      </w:r>
    </w:p>
    <w:p w14:paraId="000000E7" w14:textId="77777777" w:rsidR="00FC14A1" w:rsidRDefault="00000000">
      <w:pPr>
        <w:ind w:left="0" w:hanging="2"/>
        <w:rPr>
          <w:rFonts w:ascii="Arial" w:eastAsia="Arial" w:hAnsi="Arial" w:cs="Arial"/>
          <w:sz w:val="22"/>
          <w:szCs w:val="22"/>
        </w:rPr>
      </w:pPr>
      <w:r>
        <w:rPr>
          <w:rFonts w:ascii="Arial" w:eastAsia="Arial" w:hAnsi="Arial" w:cs="Arial"/>
          <w:sz w:val="22"/>
          <w:szCs w:val="22"/>
        </w:rPr>
        <w:t xml:space="preserve">conclusions to the dissertation committee. The defense should be attended by the Outside member of the dissertation committee; video or teleconferencing can be used if necessary. </w:t>
      </w:r>
    </w:p>
    <w:p w14:paraId="000000E8" w14:textId="77777777" w:rsidR="00FC14A1" w:rsidRDefault="00FC14A1">
      <w:pPr>
        <w:ind w:left="0" w:hanging="2"/>
        <w:rPr>
          <w:rFonts w:ascii="Arial" w:eastAsia="Arial" w:hAnsi="Arial" w:cs="Arial"/>
          <w:sz w:val="22"/>
          <w:szCs w:val="22"/>
        </w:rPr>
      </w:pPr>
    </w:p>
    <w:p w14:paraId="000000E9" w14:textId="77777777" w:rsidR="00FC14A1" w:rsidRDefault="00000000">
      <w:pPr>
        <w:ind w:left="0" w:hanging="2"/>
        <w:rPr>
          <w:rFonts w:ascii="Arial" w:eastAsia="Arial" w:hAnsi="Arial" w:cs="Arial"/>
          <w:sz w:val="22"/>
          <w:szCs w:val="22"/>
        </w:rPr>
      </w:pPr>
      <w:r>
        <w:rPr>
          <w:rFonts w:ascii="Arial" w:eastAsia="Arial" w:hAnsi="Arial" w:cs="Arial"/>
          <w:b/>
          <w:sz w:val="22"/>
          <w:szCs w:val="22"/>
        </w:rPr>
        <w:t xml:space="preserve">DEFENSE DATE: </w:t>
      </w:r>
      <w:r>
        <w:rPr>
          <w:rFonts w:ascii="Arial" w:eastAsia="Arial" w:hAnsi="Arial" w:cs="Arial"/>
          <w:sz w:val="22"/>
          <w:szCs w:val="22"/>
        </w:rPr>
        <w:t xml:space="preserve">Deadlines are set </w:t>
      </w:r>
      <w:r>
        <w:rPr>
          <w:rFonts w:ascii="Arial" w:eastAsia="Arial" w:hAnsi="Arial" w:cs="Arial"/>
          <w:i/>
          <w:sz w:val="22"/>
          <w:szCs w:val="22"/>
        </w:rPr>
        <w:t xml:space="preserve">each </w:t>
      </w:r>
      <w:r>
        <w:rPr>
          <w:rFonts w:ascii="Arial" w:eastAsia="Arial" w:hAnsi="Arial" w:cs="Arial"/>
          <w:sz w:val="22"/>
          <w:szCs w:val="22"/>
        </w:rPr>
        <w:t>s</w:t>
      </w:r>
      <w:r>
        <w:rPr>
          <w:rFonts w:ascii="Arial" w:eastAsia="Arial" w:hAnsi="Arial" w:cs="Arial"/>
          <w:i/>
          <w:sz w:val="22"/>
          <w:szCs w:val="22"/>
        </w:rPr>
        <w:t xml:space="preserve">emester </w:t>
      </w:r>
      <w:r>
        <w:rPr>
          <w:rFonts w:ascii="Arial" w:eastAsia="Arial" w:hAnsi="Arial" w:cs="Arial"/>
          <w:sz w:val="22"/>
          <w:szCs w:val="22"/>
        </w:rPr>
        <w:t xml:space="preserve">by the Graduate School for students to (a) apply online for graduation, (b) advertise their defense, and (c) to file dissertations with the Graduate School Office. The Graduate Program additionally requires a written statement from the research mentor indicating their agreement with expected dates of graduation. Advanced students will receive email notification of deadlines and a posting </w:t>
      </w:r>
      <w:r>
        <w:rPr>
          <w:rFonts w:ascii="Arial" w:eastAsia="Arial" w:hAnsi="Arial" w:cs="Arial"/>
          <w:sz w:val="22"/>
          <w:szCs w:val="22"/>
        </w:rPr>
        <w:lastRenderedPageBreak/>
        <w:t>of that message will remain on the Graduate Program Bulletin Board throughout each degree awarding period. The Graduate School’s webpage should also be consulted for updates of its requirements and “Guide to the Preparation of Theses and Dissertations.”</w:t>
      </w:r>
    </w:p>
    <w:p w14:paraId="000000EA" w14:textId="77777777" w:rsidR="00FC14A1" w:rsidRDefault="00FC14A1">
      <w:pPr>
        <w:ind w:left="0" w:hanging="2"/>
        <w:rPr>
          <w:rFonts w:ascii="Arial" w:eastAsia="Arial" w:hAnsi="Arial" w:cs="Arial"/>
          <w:sz w:val="22"/>
          <w:szCs w:val="22"/>
        </w:rPr>
      </w:pPr>
    </w:p>
    <w:p w14:paraId="000000EB" w14:textId="77777777" w:rsidR="00FC14A1" w:rsidRDefault="00000000">
      <w:pPr>
        <w:ind w:left="0" w:hanging="2"/>
        <w:rPr>
          <w:rFonts w:ascii="Arial" w:eastAsia="Arial" w:hAnsi="Arial" w:cs="Arial"/>
          <w:sz w:val="22"/>
          <w:szCs w:val="22"/>
        </w:rPr>
      </w:pPr>
      <w:r>
        <w:rPr>
          <w:rFonts w:ascii="Arial" w:eastAsia="Arial" w:hAnsi="Arial" w:cs="Arial"/>
          <w:b/>
          <w:i/>
          <w:sz w:val="22"/>
          <w:szCs w:val="22"/>
        </w:rPr>
        <w:t>Note: All students must be registered during the semester during which the thesis is defended. During the fall and spring at least one credit is required. In summer, the 1 credit course GRD 800 fulfills the registration requirement for graduation.</w:t>
      </w:r>
    </w:p>
    <w:p w14:paraId="000000EC" w14:textId="77777777" w:rsidR="00FC14A1" w:rsidRDefault="00000000">
      <w:pPr>
        <w:ind w:left="0" w:hanging="2"/>
        <w:rPr>
          <w:rFonts w:ascii="Arial" w:eastAsia="Arial" w:hAnsi="Arial" w:cs="Arial"/>
          <w:sz w:val="22"/>
          <w:szCs w:val="22"/>
        </w:rPr>
      </w:pPr>
      <w:r>
        <w:rPr>
          <w:rFonts w:ascii="Arial" w:eastAsia="Arial" w:hAnsi="Arial" w:cs="Arial"/>
          <w:sz w:val="22"/>
          <w:szCs w:val="22"/>
        </w:rPr>
        <w:t>The Graduate School requires the submission of a Doctoral Degree Defense Announcement THREE WEEKS prior to the defense. The form is available to download from the Graduate School’s link “Forms.” It includes an abstract of the thesis, to be cosigned by the thesis advisor and electronically submitted to the Graduate School by the PhD Program Director.</w:t>
      </w:r>
    </w:p>
    <w:p w14:paraId="000000ED" w14:textId="77777777" w:rsidR="00FC14A1" w:rsidRDefault="00FC14A1">
      <w:pPr>
        <w:ind w:left="0" w:hanging="2"/>
      </w:pPr>
    </w:p>
    <w:p w14:paraId="000000EE" w14:textId="77777777" w:rsidR="00FC14A1" w:rsidRDefault="00000000">
      <w:pPr>
        <w:ind w:left="1" w:hanging="3"/>
        <w:rPr>
          <w:rFonts w:ascii="Arial" w:eastAsia="Arial" w:hAnsi="Arial" w:cs="Arial"/>
          <w:b/>
          <w:sz w:val="28"/>
          <w:szCs w:val="28"/>
        </w:rPr>
      </w:pPr>
      <w:r>
        <w:rPr>
          <w:rFonts w:ascii="Arial" w:eastAsia="Arial" w:hAnsi="Arial" w:cs="Arial"/>
          <w:b/>
          <w:sz w:val="28"/>
          <w:szCs w:val="28"/>
        </w:rPr>
        <w:t>CONFLICT RESOLUTION PROCEDURES</w:t>
      </w:r>
    </w:p>
    <w:p w14:paraId="000000EF" w14:textId="77777777" w:rsidR="00FC14A1" w:rsidRDefault="00000000">
      <w:pPr>
        <w:ind w:left="0" w:hanging="2"/>
        <w:rPr>
          <w:rFonts w:ascii="Arial" w:eastAsia="Arial" w:hAnsi="Arial" w:cs="Arial"/>
          <w:sz w:val="22"/>
          <w:szCs w:val="22"/>
        </w:rPr>
      </w:pPr>
      <w:r>
        <w:rPr>
          <w:rFonts w:ascii="Arial" w:eastAsia="Arial" w:hAnsi="Arial" w:cs="Arial"/>
          <w:sz w:val="22"/>
          <w:szCs w:val="22"/>
        </w:rPr>
        <w:t>Issues regarding specific problems with the research project should be discussed by students and advisers. The Thesis Committee may be engaged at the request of the student or faculty adviser to help resolve the concerns. Issues in this category may include disagreements about program directions, scope of thesis research, or lack of access to scientific resources or facilities. The concerns may be raised during the yearly (or bi-yearly) progress report during, as these meetings include opportunities for the student and the mentor to privately discuss issues before the progress report presentation.</w:t>
      </w:r>
    </w:p>
    <w:p w14:paraId="000000F0" w14:textId="77777777" w:rsidR="00FC14A1" w:rsidRDefault="00FC14A1">
      <w:pPr>
        <w:ind w:left="0" w:hanging="2"/>
        <w:rPr>
          <w:rFonts w:ascii="Arial" w:eastAsia="Arial" w:hAnsi="Arial" w:cs="Arial"/>
          <w:sz w:val="22"/>
          <w:szCs w:val="22"/>
        </w:rPr>
      </w:pPr>
    </w:p>
    <w:p w14:paraId="000000F1" w14:textId="77777777" w:rsidR="00FC14A1" w:rsidRDefault="00000000">
      <w:pPr>
        <w:ind w:left="0" w:hanging="2"/>
        <w:rPr>
          <w:rFonts w:ascii="Arial" w:eastAsia="Arial" w:hAnsi="Arial" w:cs="Arial"/>
          <w:sz w:val="22"/>
          <w:szCs w:val="22"/>
        </w:rPr>
      </w:pPr>
      <w:r>
        <w:rPr>
          <w:rFonts w:ascii="Arial" w:eastAsia="Arial" w:hAnsi="Arial" w:cs="Arial"/>
          <w:sz w:val="22"/>
          <w:szCs w:val="22"/>
        </w:rPr>
        <w:t>Issues regarding the mentor/mentee relationship may be brought by the student or the faculty adviser to the Thesis Committee during the progress report or at any time it may be needed. The Thesis Committee will attempt a mediation and engage the Program Committee and Graduate Program Director if needed. The Committee will follow the guidelines described above regarding the discussion of whether the student is in good standing with the Program and provide pathways to resolution. The first step in the process will be to encourage mentor and mentee to draft an agreement plan that includes expectations from both sides, vacation and notification procedures, specific meeting patterns and an outline of expected experiments and milestones. The plan should be submitted to the thesis committee for review and the final plan should be submitted to the Program Director. If this procedure does not lead to a resolution, alternative avenues may be explored including the requirement to participate in mentoring or mentor/mentee workshops or the need to consider the transfer of the student to a different laboratory.</w:t>
      </w:r>
    </w:p>
    <w:p w14:paraId="000000F2" w14:textId="77777777" w:rsidR="00FC14A1" w:rsidRDefault="00FC14A1">
      <w:pPr>
        <w:ind w:left="0" w:hanging="2"/>
        <w:rPr>
          <w:rFonts w:ascii="Arial" w:eastAsia="Arial" w:hAnsi="Arial" w:cs="Arial"/>
          <w:sz w:val="22"/>
          <w:szCs w:val="22"/>
        </w:rPr>
      </w:pPr>
    </w:p>
    <w:p w14:paraId="000000F3" w14:textId="24BF126B" w:rsidR="00FC14A1" w:rsidRDefault="00000000">
      <w:pPr>
        <w:ind w:left="0" w:hanging="2"/>
        <w:rPr>
          <w:rFonts w:ascii="Arial" w:eastAsia="Arial" w:hAnsi="Arial" w:cs="Arial"/>
          <w:sz w:val="22"/>
          <w:szCs w:val="22"/>
        </w:rPr>
      </w:pPr>
      <w:r>
        <w:rPr>
          <w:rFonts w:ascii="Arial" w:eastAsia="Arial" w:hAnsi="Arial" w:cs="Arial"/>
          <w:sz w:val="22"/>
          <w:szCs w:val="22"/>
        </w:rPr>
        <w:t xml:space="preserve">Issues regarding Title VII and Title IX concerns may be reported to the appropriate offices directly or through the </w:t>
      </w:r>
      <w:hyperlink r:id="rId10" w:history="1">
        <w:proofErr w:type="spellStart"/>
        <w:r w:rsidRPr="00711486">
          <w:rPr>
            <w:rStyle w:val="Hyperlink"/>
            <w:rFonts w:ascii="Arial" w:eastAsia="Arial" w:hAnsi="Arial" w:cs="Arial"/>
            <w:sz w:val="22"/>
            <w:szCs w:val="22"/>
          </w:rPr>
          <w:t>ReportIt</w:t>
        </w:r>
        <w:proofErr w:type="spellEnd"/>
        <w:r w:rsidRPr="00711486">
          <w:rPr>
            <w:rStyle w:val="Hyperlink"/>
            <w:rFonts w:ascii="Arial" w:eastAsia="Arial" w:hAnsi="Arial" w:cs="Arial"/>
            <w:sz w:val="22"/>
            <w:szCs w:val="22"/>
          </w:rPr>
          <w:t xml:space="preserve"> portal</w:t>
        </w:r>
      </w:hyperlink>
      <w:r>
        <w:rPr>
          <w:rFonts w:ascii="Arial" w:eastAsia="Arial" w:hAnsi="Arial" w:cs="Arial"/>
          <w:sz w:val="22"/>
          <w:szCs w:val="22"/>
        </w:rPr>
        <w:t>.</w:t>
      </w:r>
    </w:p>
    <w:p w14:paraId="000000F5" w14:textId="77777777" w:rsidR="00FC14A1" w:rsidRDefault="00FC14A1">
      <w:pPr>
        <w:ind w:left="0" w:hanging="2"/>
        <w:rPr>
          <w:rFonts w:ascii="Arial" w:eastAsia="Arial" w:hAnsi="Arial" w:cs="Arial"/>
          <w:sz w:val="22"/>
          <w:szCs w:val="22"/>
        </w:rPr>
      </w:pPr>
    </w:p>
    <w:p w14:paraId="000000F6" w14:textId="1A2C0212" w:rsidR="00FC14A1" w:rsidRDefault="00000000">
      <w:pPr>
        <w:ind w:left="0" w:hanging="2"/>
        <w:rPr>
          <w:rFonts w:ascii="Arial" w:eastAsia="Arial" w:hAnsi="Arial" w:cs="Arial"/>
          <w:sz w:val="22"/>
          <w:szCs w:val="22"/>
        </w:rPr>
      </w:pPr>
      <w:r>
        <w:rPr>
          <w:rFonts w:ascii="Arial" w:eastAsia="Arial" w:hAnsi="Arial" w:cs="Arial"/>
          <w:sz w:val="22"/>
          <w:szCs w:val="22"/>
        </w:rPr>
        <w:t xml:space="preserve">Grievance and Appeal Procedures regarding scientific misconduct will follow the guidelines indicated in the </w:t>
      </w:r>
      <w:hyperlink r:id="rId11" w:history="1">
        <w:r w:rsidRPr="00711486">
          <w:rPr>
            <w:rStyle w:val="Hyperlink"/>
            <w:rFonts w:ascii="Arial" w:eastAsia="Arial" w:hAnsi="Arial" w:cs="Arial"/>
            <w:sz w:val="22"/>
            <w:szCs w:val="22"/>
          </w:rPr>
          <w:t>Graduate School Bulletin</w:t>
        </w:r>
      </w:hyperlink>
      <w:r w:rsidR="00711486">
        <w:rPr>
          <w:rFonts w:ascii="Arial" w:eastAsia="Arial" w:hAnsi="Arial" w:cs="Arial"/>
          <w:sz w:val="22"/>
          <w:szCs w:val="22"/>
        </w:rPr>
        <w:t>.</w:t>
      </w:r>
    </w:p>
    <w:p w14:paraId="000000F8" w14:textId="77777777" w:rsidR="00FC14A1" w:rsidRDefault="00FC14A1">
      <w:pPr>
        <w:ind w:left="0" w:hanging="2"/>
        <w:rPr>
          <w:rFonts w:ascii="Arial" w:eastAsia="Arial" w:hAnsi="Arial" w:cs="Arial"/>
          <w:sz w:val="22"/>
          <w:szCs w:val="22"/>
        </w:rPr>
      </w:pPr>
    </w:p>
    <w:p w14:paraId="000000F9" w14:textId="77777777" w:rsidR="00FC14A1" w:rsidRDefault="00FC14A1">
      <w:pPr>
        <w:ind w:left="0" w:hanging="2"/>
        <w:rPr>
          <w:rFonts w:ascii="Arial" w:eastAsia="Arial" w:hAnsi="Arial" w:cs="Arial"/>
          <w:sz w:val="22"/>
          <w:szCs w:val="22"/>
        </w:rPr>
      </w:pPr>
    </w:p>
    <w:p w14:paraId="000000FA" w14:textId="77777777" w:rsidR="00FC14A1" w:rsidRDefault="00FC14A1">
      <w:pPr>
        <w:ind w:left="0" w:hanging="2"/>
      </w:pPr>
    </w:p>
    <w:sectPr w:rsidR="00FC14A1">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1" w:fontKey="{C16FCD23-5453-4E98-B5E5-D3042C531DAB}"/>
  </w:font>
  <w:font w:name="Georgia">
    <w:panose1 w:val="02040502050405020303"/>
    <w:charset w:val="00"/>
    <w:family w:val="auto"/>
    <w:pitch w:val="default"/>
    <w:embedRegular r:id="rId2" w:fontKey="{59ED5559-6E70-4A24-9F82-08093F619BDE}"/>
    <w:embedItalic r:id="rId3" w:fontKey="{14F54DB1-6DF7-4522-82AA-F075A7E09274}"/>
  </w:font>
  <w:font w:name="Times">
    <w:panose1 w:val="02020603050405020304"/>
    <w:charset w:val="00"/>
    <w:family w:val="roman"/>
    <w:pitch w:val="variable"/>
    <w:sig w:usb0="E0002EFF" w:usb1="C000785B" w:usb2="00000009" w:usb3="00000000" w:csb0="000001FF" w:csb1="00000000"/>
    <w:embedRegular r:id="rId4" w:fontKey="{1D18A91D-FBAA-4B23-BC94-9BADE08AC827}"/>
  </w:font>
  <w:font w:name="Noto Sans Symbols">
    <w:charset w:val="00"/>
    <w:family w:val="auto"/>
    <w:pitch w:val="default"/>
    <w:embedRegular r:id="rId5" w:fontKey="{629CFF42-F0A5-4D2D-82C0-46D629E88753}"/>
    <w:embedBold r:id="rId6" w:fontKey="{CC407725-FAA6-484F-9193-2CBAA76CE1CC}"/>
  </w:font>
  <w:font w:name="Calibri">
    <w:panose1 w:val="020F0502020204030204"/>
    <w:charset w:val="00"/>
    <w:family w:val="swiss"/>
    <w:pitch w:val="variable"/>
    <w:sig w:usb0="E4002EFF" w:usb1="C200247B" w:usb2="00000009" w:usb3="00000000" w:csb0="000001FF" w:csb1="00000000"/>
    <w:embedRegular r:id="rId7" w:fontKey="{1E32264B-390F-485F-BBE4-C71ECD5E3C3F}"/>
  </w:font>
  <w:font w:name="Cambria">
    <w:panose1 w:val="02040503050406030204"/>
    <w:charset w:val="00"/>
    <w:family w:val="roman"/>
    <w:pitch w:val="variable"/>
    <w:sig w:usb0="E00006FF" w:usb1="420024FF" w:usb2="02000000" w:usb3="00000000" w:csb0="0000019F" w:csb1="00000000"/>
    <w:embedRegular r:id="rId8" w:fontKey="{F8F6F972-54C4-4A94-86FA-08FE371C969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26869"/>
    <w:multiLevelType w:val="multilevel"/>
    <w:tmpl w:val="A97CAF6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0496B97"/>
    <w:multiLevelType w:val="multilevel"/>
    <w:tmpl w:val="7A5C8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4C10EB2"/>
    <w:multiLevelType w:val="multilevel"/>
    <w:tmpl w:val="DE18B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14542DA"/>
    <w:multiLevelType w:val="multilevel"/>
    <w:tmpl w:val="AD589CAA"/>
    <w:lvl w:ilvl="0">
      <w:start w:val="1"/>
      <w:numFmt w:val="bullet"/>
      <w:lvlText w:val="●"/>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15771652">
    <w:abstractNumId w:val="1"/>
  </w:num>
  <w:num w:numId="2" w16cid:durableId="384453250">
    <w:abstractNumId w:val="0"/>
  </w:num>
  <w:num w:numId="3" w16cid:durableId="1794442013">
    <w:abstractNumId w:val="2"/>
  </w:num>
  <w:num w:numId="4" w16cid:durableId="126439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4A1"/>
    <w:rsid w:val="0014051E"/>
    <w:rsid w:val="003A7D14"/>
    <w:rsid w:val="00711486"/>
    <w:rsid w:val="007E0905"/>
    <w:rsid w:val="00E33A30"/>
    <w:rsid w:val="00F97ECA"/>
    <w:rsid w:val="00FC1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45EB"/>
  <w15:docId w15:val="{78E5C38B-1479-40E5-965B-A27C5A47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ko-KR"/>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w w:val="100"/>
      <w:position w:val="-1"/>
      <w:sz w:val="24"/>
      <w:szCs w:val="24"/>
      <w:effect w:val="none"/>
      <w:vertAlign w:val="baseline"/>
      <w:cs w:val="0"/>
      <w:em w:val="none"/>
      <w:lang w:eastAsia="ko-KR"/>
    </w:rPr>
  </w:style>
  <w:style w:type="paragraph" w:styleId="Footer">
    <w:name w:val="footer"/>
    <w:basedOn w:val="Normal"/>
    <w:pPr>
      <w:tabs>
        <w:tab w:val="center" w:pos="4320"/>
        <w:tab w:val="right" w:pos="8640"/>
      </w:tabs>
    </w:pPr>
  </w:style>
  <w:style w:type="character" w:customStyle="1" w:styleId="FooterChar">
    <w:name w:val="Footer Char"/>
    <w:basedOn w:val="DefaultParagraphFont"/>
    <w:rPr>
      <w:w w:val="100"/>
      <w:position w:val="-1"/>
      <w:sz w:val="24"/>
      <w:szCs w:val="24"/>
      <w:effect w:val="none"/>
      <w:vertAlign w:val="baseline"/>
      <w:cs w:val="0"/>
      <w:em w:val="none"/>
      <w:lang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4051E"/>
    <w:rPr>
      <w:color w:val="0000FF" w:themeColor="hyperlink"/>
      <w:u w:val="single"/>
    </w:rPr>
  </w:style>
  <w:style w:type="character" w:styleId="UnresolvedMention">
    <w:name w:val="Unresolved Mention"/>
    <w:basedOn w:val="DefaultParagraphFont"/>
    <w:uiPriority w:val="99"/>
    <w:semiHidden/>
    <w:unhideWhenUsed/>
    <w:rsid w:val="00140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report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atalog.stonybrook.edu/index.php?catoid=4/regulation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talog.stonybrook.edu/content.php?catoid=12&amp;navoid=1328" TargetMode="External"/><Relationship Id="rId11" Type="http://schemas.openxmlformats.org/officeDocument/2006/relationships/hyperlink" Target="https://catalog.stonybrook.edu/content.php?catoid=12&amp;navoid=1337" TargetMode="External"/><Relationship Id="rId5" Type="http://schemas.openxmlformats.org/officeDocument/2006/relationships/webSettings" Target="webSettings.xml"/><Relationship Id="rId10" Type="http://schemas.openxmlformats.org/officeDocument/2006/relationships/hyperlink" Target="https://www.stonybrook.edu/reportit/" TargetMode="External"/><Relationship Id="rId4" Type="http://schemas.openxmlformats.org/officeDocument/2006/relationships/settings" Target="settings.xml"/><Relationship Id="rId9" Type="http://schemas.openxmlformats.org/officeDocument/2006/relationships/hyperlink" Target="https://catalog.stonybrook.edu/content.php?catoid=12&amp;navoid=133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aHVQw/wEny1ZTobsYtlrHdg8aQ==">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7839</Words>
  <Characters>44687</Characters>
  <Application>Microsoft Office Word</Application>
  <DocSecurity>0</DocSecurity>
  <Lines>372</Lines>
  <Paragraphs>104</Paragraphs>
  <ScaleCrop>false</ScaleCrop>
  <Company/>
  <LinksUpToDate>false</LinksUpToDate>
  <CharactersWithSpaces>52422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levine</dc:creator>
  <cp:lastModifiedBy>Arianna Maffei</cp:lastModifiedBy>
  <cp:revision>6</cp:revision>
  <dcterms:created xsi:type="dcterms:W3CDTF">2026-07-21T19:22:00Z</dcterms:created>
  <dcterms:modified xsi:type="dcterms:W3CDTF">2026-07-21T19:27:00Z</dcterms:modified>
</cp:coreProperties>
</file>