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85E6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0B0CA6AB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7F62A6FD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06AD32F2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3D882B48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2BF139EE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604831F5" w14:textId="77777777" w:rsidR="00BD3573" w:rsidRDefault="00BD3573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CXCR4 Crosslinking and T Cell Adhesion as a Mechanism of Immune Evasion in Pancreatic Ductal Adenocarcinoma</w:t>
      </w:r>
    </w:p>
    <w:p w14:paraId="4CB15D51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4B55DA0C" w14:textId="77777777" w:rsidR="008260BA" w:rsidRDefault="00BD3573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</w:rPr>
      </w:pPr>
      <w:r>
        <w:rPr>
          <w:b/>
        </w:rPr>
        <w:t>Jordan Pearson</w:t>
      </w:r>
    </w:p>
    <w:p w14:paraId="379ACE3C" w14:textId="77777777" w:rsidR="004A0EA3" w:rsidRDefault="004A0EA3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</w:rPr>
      </w:pPr>
    </w:p>
    <w:p w14:paraId="48E69F66" w14:textId="77777777" w:rsidR="00E53627" w:rsidRPr="00E53627" w:rsidRDefault="00E53627" w:rsidP="00E5362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bCs/>
        </w:rPr>
      </w:pPr>
      <w:r>
        <w:rPr>
          <w:bCs/>
        </w:rPr>
        <w:t xml:space="preserve">Pancreatic ductal adenocarcinoma (PDA) is an aggressive </w:t>
      </w:r>
      <w:r>
        <w:t>cancer known for evading immune surveillance, primarily by preventing T cell infiltration. While immune exclusion in PDA has been linked to factors like the tumor’s stromal environment and immune checkpoint evasion, the molecular mechanisms preventing T cell entry remain unclear. In this thesis, I identify a novel mechanism where CXCL12 signaling induces T cell adhesion to fibronectin, impeding T cell migration. I demonstrate that polymeric CXCL12 triggers PTK2B phosphorylation in T cells, which arrests their movement by enhancing adhesion to fibronectin. This phosphorylation occurs through CXCR4 receptor crosslinking independently of G protein signaling, while monomeric CXCL12, acting through G proteins, does not induce PTK2B phosphorylation. I also investigate the TNFα-TNFR2 signaling axis, which promotes T cell adhesion via integrin activation, contributing to immune exclusion in PDA. Furthermore, I examine the clinical failure of BMS-936564 (BMS), an anti-CXCR4 monoclonal antibody initially developed for cancer</w:t>
      </w:r>
      <w:r w:rsidRPr="00E53627">
        <w:t xml:space="preserve"> </w:t>
      </w:r>
      <w:r>
        <w:t xml:space="preserve">immunotherapy. Despite promising preclinical results, BMS </w:t>
      </w:r>
      <w:proofErr w:type="gramStart"/>
      <w:r>
        <w:t>failed in</w:t>
      </w:r>
      <w:proofErr w:type="gramEnd"/>
      <w:r>
        <w:t xml:space="preserve"> clinical trials due to its unexpected agonistic effects on CXCR4, which inhibited T cell motility. To address this, we explored alternative antibodies that avoid these agonistic effects.</w:t>
      </w:r>
      <w:r w:rsidRPr="00E53627">
        <w:t xml:space="preserve"> </w:t>
      </w:r>
      <w:r>
        <w:t>These findings provide new insights into the molecular mechanisms of immune exclusion in PDA</w:t>
      </w:r>
      <w:r w:rsidRPr="00E53627">
        <w:t xml:space="preserve"> </w:t>
      </w:r>
      <w:r>
        <w:t>and suggest that targeting the CXCL12-CXCR4-PTK2B pathway,</w:t>
      </w:r>
      <w:r w:rsidRPr="00E53627">
        <w:t xml:space="preserve"> </w:t>
      </w:r>
      <w:r>
        <w:t>along with TNFα-TNFR2 signaling, could offer novel therapeutic strategies to improve T cell infiltration and immune responses in PDA.</w:t>
      </w:r>
    </w:p>
    <w:p w14:paraId="527DF075" w14:textId="77777777" w:rsidR="00E53627" w:rsidRDefault="00E53627" w:rsidP="00E5362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b/>
        </w:rPr>
      </w:pPr>
    </w:p>
    <w:p w14:paraId="447EA1A1" w14:textId="77777777" w:rsidR="007D4EFF" w:rsidRPr="002E6079" w:rsidRDefault="007D4EFF" w:rsidP="005F4D9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szCs w:val="24"/>
        </w:rPr>
      </w:pPr>
    </w:p>
    <w:p w14:paraId="490B7142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4A0EA3">
        <w:t xml:space="preserve">May 9, </w:t>
      </w:r>
      <w:proofErr w:type="gramStart"/>
      <w:r w:rsidR="004A0EA3">
        <w:t>2025</w:t>
      </w:r>
      <w:proofErr w:type="gramEnd"/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="004A0EA3">
        <w:tab/>
        <w:t xml:space="preserve">        </w:t>
      </w:r>
      <w:r w:rsidRPr="002E6079">
        <w:rPr>
          <w:b/>
        </w:rPr>
        <w:t>Program</w:t>
      </w:r>
      <w:r w:rsidRPr="002E6079">
        <w:t xml:space="preserve">: </w:t>
      </w:r>
      <w:r w:rsidR="00BD3573">
        <w:t>Genetics</w:t>
      </w:r>
    </w:p>
    <w:p w14:paraId="5704CDA9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4A0EA3">
        <w:t>1:00 PM</w:t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BD3573">
        <w:t>Douglas Fearon</w:t>
      </w:r>
      <w:r w:rsidRPr="002E6079">
        <w:t xml:space="preserve"> </w:t>
      </w:r>
    </w:p>
    <w:p w14:paraId="6E52C0AE" w14:textId="77777777" w:rsidR="00C9070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4A0EA3">
        <w:t>Hawkins Auditorium, Wendt Building, Cold Spring Harbor Laboratory</w:t>
      </w:r>
    </w:p>
    <w:p w14:paraId="77B6CFD0" w14:textId="77777777" w:rsidR="004A0EA3" w:rsidRDefault="004A0EA3" w:rsidP="004A0EA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i/>
          <w:iCs/>
          <w:szCs w:val="24"/>
        </w:rPr>
      </w:pPr>
    </w:p>
    <w:p w14:paraId="3B4F6176" w14:textId="77777777" w:rsidR="004A0EA3" w:rsidRPr="002C4089" w:rsidRDefault="004A0EA3" w:rsidP="004A0EA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szCs w:val="24"/>
        </w:rPr>
      </w:pPr>
      <w:r w:rsidRPr="002C4089">
        <w:rPr>
          <w:i/>
          <w:iCs/>
          <w:szCs w:val="24"/>
        </w:rPr>
        <w:t xml:space="preserve">To attend virtually, contact the Program Director at </w:t>
      </w:r>
      <w:r w:rsidRPr="002C4089">
        <w:rPr>
          <w:szCs w:val="24"/>
        </w:rPr>
        <w:t>martha.furie@stonybrook.edu.</w:t>
      </w:r>
    </w:p>
    <w:p w14:paraId="6F5AD24B" w14:textId="77777777" w:rsidR="00E53627" w:rsidRPr="002E6079" w:rsidRDefault="00E5362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</w:p>
    <w:sectPr w:rsidR="00E53627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226837"/>
    <w:rsid w:val="00294E27"/>
    <w:rsid w:val="002E6079"/>
    <w:rsid w:val="004A0EA3"/>
    <w:rsid w:val="004B5209"/>
    <w:rsid w:val="005B45FB"/>
    <w:rsid w:val="005E3260"/>
    <w:rsid w:val="005F4D96"/>
    <w:rsid w:val="00644903"/>
    <w:rsid w:val="007D4EFF"/>
    <w:rsid w:val="008260BA"/>
    <w:rsid w:val="00831898"/>
    <w:rsid w:val="00874AB5"/>
    <w:rsid w:val="00A53341"/>
    <w:rsid w:val="00A819D7"/>
    <w:rsid w:val="00B26849"/>
    <w:rsid w:val="00BD3573"/>
    <w:rsid w:val="00C24DC6"/>
    <w:rsid w:val="00C90703"/>
    <w:rsid w:val="00D03977"/>
    <w:rsid w:val="00DF3CCE"/>
    <w:rsid w:val="00E36EF0"/>
    <w:rsid w:val="00E53627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5B43D"/>
  <w15:chartTrackingRefBased/>
  <w15:docId w15:val="{4AD34C20-132D-4AAE-AB41-52E5184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3573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2026-04-17T18:37:00Z</dcterms:created>
  <dcterms:modified xsi:type="dcterms:W3CDTF">2026-04-17T18:37:00Z</dcterms:modified>
</cp:coreProperties>
</file>