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83B4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20E051A8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58A95586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Graduate School</w:t>
      </w:r>
    </w:p>
    <w:p w14:paraId="7342D80F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6667A43E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3114D4D6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0735E851" w14:textId="77777777" w:rsidR="001415CF" w:rsidRPr="002E6079" w:rsidRDefault="002D5E94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 xml:space="preserve">Role of truncating alleles of </w:t>
      </w:r>
      <w:r w:rsidRPr="002D5E94">
        <w:rPr>
          <w:i/>
        </w:rPr>
        <w:t>TP53</w:t>
      </w:r>
      <w:r>
        <w:t xml:space="preserve"> in tumorigenesis</w:t>
      </w:r>
    </w:p>
    <w:p w14:paraId="3A1E2559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E6079">
        <w:t>By</w:t>
      </w:r>
    </w:p>
    <w:p w14:paraId="318B8A78" w14:textId="77777777" w:rsidR="008260BA" w:rsidRPr="002E6079" w:rsidRDefault="002D5E94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Nitin H. Shirole</w:t>
      </w:r>
    </w:p>
    <w:p w14:paraId="514BEDD7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</w:p>
    <w:p w14:paraId="68F03F8C" w14:textId="77777777" w:rsidR="008260BA" w:rsidRPr="002D5E94" w:rsidRDefault="00631F75" w:rsidP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Cs w:val="24"/>
        </w:rPr>
      </w:pPr>
      <w:r>
        <w:rPr>
          <w:i/>
          <w:iCs/>
          <w:szCs w:val="24"/>
        </w:rPr>
        <w:t xml:space="preserve">TP53 </w:t>
      </w:r>
      <w:r w:rsidR="006A3BD0">
        <w:rPr>
          <w:iCs/>
          <w:szCs w:val="24"/>
        </w:rPr>
        <w:t xml:space="preserve">is the most mutated gene in human cancers and known as “guardian of genome”. </w:t>
      </w:r>
      <w:r w:rsidR="006617C5">
        <w:rPr>
          <w:szCs w:val="24"/>
        </w:rPr>
        <w:t xml:space="preserve">The </w:t>
      </w:r>
      <w:r w:rsidR="002D5E94" w:rsidRPr="002D5E94">
        <w:rPr>
          <w:szCs w:val="24"/>
        </w:rPr>
        <w:t>truncating mutations</w:t>
      </w:r>
      <w:r w:rsidR="006617C5">
        <w:rPr>
          <w:szCs w:val="24"/>
        </w:rPr>
        <w:t xml:space="preserve"> in </w:t>
      </w:r>
      <w:r w:rsidR="006617C5" w:rsidRPr="006617C5">
        <w:rPr>
          <w:i/>
          <w:szCs w:val="24"/>
        </w:rPr>
        <w:t>TP53</w:t>
      </w:r>
      <w:r w:rsidR="002D5E94" w:rsidRPr="002D5E94">
        <w:rPr>
          <w:szCs w:val="24"/>
        </w:rPr>
        <w:t xml:space="preserve"> are common in human tumors and are thought to give rise to p53-n</w:t>
      </w:r>
      <w:r w:rsidR="004C5BBB">
        <w:rPr>
          <w:szCs w:val="24"/>
        </w:rPr>
        <w:t xml:space="preserve">ull alleles. Here, we show that </w:t>
      </w:r>
      <w:r w:rsidR="002D5E94" w:rsidRPr="002D5E94">
        <w:rPr>
          <w:i/>
          <w:iCs/>
          <w:szCs w:val="24"/>
        </w:rPr>
        <w:t>TP53</w:t>
      </w:r>
      <w:r w:rsidR="004C5BBB">
        <w:rPr>
          <w:szCs w:val="24"/>
        </w:rPr>
        <w:t xml:space="preserve"> </w:t>
      </w:r>
      <w:r w:rsidR="002D5E94" w:rsidRPr="002D5E94">
        <w:rPr>
          <w:szCs w:val="24"/>
        </w:rPr>
        <w:t xml:space="preserve">exon-6 truncating mutations occur at higher than expected frequencies and produce proteins that lack canonical p53 tumor suppressor activities but promote cancer cell proliferation, survival, and metastasis. </w:t>
      </w:r>
      <w:r w:rsidR="006A3BD0">
        <w:rPr>
          <w:szCs w:val="24"/>
        </w:rPr>
        <w:t>In this study, we have shown that inactivation of p53 exon-6 truncating mutants either by RNAi or CRISPR/Cas9 leads to reversion of mesenchymal features and reduction in cell survival in-vitro</w:t>
      </w:r>
      <w:r w:rsidR="005227ED">
        <w:rPr>
          <w:szCs w:val="24"/>
        </w:rPr>
        <w:t xml:space="preserve"> and in-v</w:t>
      </w:r>
      <w:r w:rsidR="00CD57C8">
        <w:rPr>
          <w:szCs w:val="24"/>
        </w:rPr>
        <w:t>i</w:t>
      </w:r>
      <w:r w:rsidR="005227ED">
        <w:rPr>
          <w:szCs w:val="24"/>
        </w:rPr>
        <w:t>vo</w:t>
      </w:r>
      <w:r w:rsidR="006A3BD0">
        <w:rPr>
          <w:szCs w:val="24"/>
        </w:rPr>
        <w:t>.</w:t>
      </w:r>
      <w:r w:rsidR="00E938FD">
        <w:rPr>
          <w:szCs w:val="24"/>
        </w:rPr>
        <w:t xml:space="preserve"> In addition to this, we have developed a chemically stabilized Cas9 </w:t>
      </w:r>
      <w:r w:rsidR="00BD0406">
        <w:rPr>
          <w:szCs w:val="24"/>
        </w:rPr>
        <w:t>which was employed to shown</w:t>
      </w:r>
      <w:r w:rsidR="00E938FD">
        <w:rPr>
          <w:szCs w:val="24"/>
        </w:rPr>
        <w:t xml:space="preserve"> </w:t>
      </w:r>
      <w:r w:rsidR="007E54E6">
        <w:rPr>
          <w:szCs w:val="24"/>
        </w:rPr>
        <w:t xml:space="preserve">the dependency of </w:t>
      </w:r>
      <w:r w:rsidR="00C6488E">
        <w:rPr>
          <w:szCs w:val="24"/>
        </w:rPr>
        <w:t xml:space="preserve">p53 </w:t>
      </w:r>
      <w:r w:rsidR="00E938FD">
        <w:rPr>
          <w:szCs w:val="24"/>
        </w:rPr>
        <w:t>exon-6 truncating mutants</w:t>
      </w:r>
      <w:r w:rsidR="00BD0406">
        <w:rPr>
          <w:szCs w:val="24"/>
        </w:rPr>
        <w:t xml:space="preserve"> </w:t>
      </w:r>
      <w:r w:rsidR="007E54E6">
        <w:rPr>
          <w:szCs w:val="24"/>
        </w:rPr>
        <w:t>on</w:t>
      </w:r>
      <w:r w:rsidR="00BD0406">
        <w:rPr>
          <w:szCs w:val="24"/>
        </w:rPr>
        <w:t xml:space="preserve"> cell survival</w:t>
      </w:r>
      <w:r w:rsidR="00E938FD">
        <w:rPr>
          <w:szCs w:val="24"/>
        </w:rPr>
        <w:t xml:space="preserve"> in xenograft mouse model.</w:t>
      </w:r>
      <w:r w:rsidR="007B16E2">
        <w:rPr>
          <w:szCs w:val="24"/>
        </w:rPr>
        <w:t xml:space="preserve"> </w:t>
      </w:r>
      <w:r w:rsidR="002D5E94" w:rsidRPr="002D5E94">
        <w:rPr>
          <w:szCs w:val="24"/>
        </w:rPr>
        <w:t xml:space="preserve">Functionally and molecularly, these p53 mutants resemble the naturally occurring alternative p53 splice variant, p53-psi. Accordingly, these mutants can localize to the mitochondria where they promote tumor phenotypes by binding and activating the mitochondria inner pore permeability regulator, Cyclophilin D (CypD). </w:t>
      </w:r>
      <w:r w:rsidR="00393630">
        <w:rPr>
          <w:szCs w:val="24"/>
        </w:rPr>
        <w:t>The opening of mitochondrial transition permeability pore by p53 exon-6 truncation lead</w:t>
      </w:r>
      <w:r w:rsidR="004C5BBB">
        <w:rPr>
          <w:szCs w:val="24"/>
        </w:rPr>
        <w:t>s</w:t>
      </w:r>
      <w:r w:rsidR="00393630">
        <w:rPr>
          <w:szCs w:val="24"/>
        </w:rPr>
        <w:t xml:space="preserve"> to increase in mitochondrial reactive oxygen species (mROS).</w:t>
      </w:r>
      <w:r w:rsidR="005049C0">
        <w:rPr>
          <w:szCs w:val="24"/>
        </w:rPr>
        <w:t xml:space="preserve"> This increase in mROS alters the mitochondrial metabolism </w:t>
      </w:r>
      <w:r w:rsidR="00F1267D">
        <w:rPr>
          <w:szCs w:val="24"/>
        </w:rPr>
        <w:t>and causes</w:t>
      </w:r>
      <w:r w:rsidR="005049C0">
        <w:rPr>
          <w:szCs w:val="24"/>
        </w:rPr>
        <w:t xml:space="preserve"> epigenetic reprogram</w:t>
      </w:r>
      <w:r w:rsidR="004C5BBB">
        <w:rPr>
          <w:szCs w:val="24"/>
        </w:rPr>
        <w:t>m</w:t>
      </w:r>
      <w:r w:rsidR="005049C0">
        <w:rPr>
          <w:szCs w:val="24"/>
        </w:rPr>
        <w:t>ing of cells into mesenchymal state</w:t>
      </w:r>
      <w:r w:rsidR="00F1267D">
        <w:rPr>
          <w:szCs w:val="24"/>
        </w:rPr>
        <w:t xml:space="preserve"> via change in DNA </w:t>
      </w:r>
      <w:r w:rsidR="00805949">
        <w:rPr>
          <w:szCs w:val="24"/>
        </w:rPr>
        <w:t>and histone methylation</w:t>
      </w:r>
      <w:r w:rsidR="005049C0">
        <w:rPr>
          <w:szCs w:val="24"/>
        </w:rPr>
        <w:t>.</w:t>
      </w:r>
      <w:r w:rsidR="006617C5">
        <w:rPr>
          <w:szCs w:val="24"/>
        </w:rPr>
        <w:t xml:space="preserve"> </w:t>
      </w:r>
      <w:r w:rsidR="008E53B3">
        <w:rPr>
          <w:szCs w:val="24"/>
        </w:rPr>
        <w:t>Moreover, p53 exon-6 truncating cells are dependent on Cy</w:t>
      </w:r>
      <w:r w:rsidR="00FB6FBF">
        <w:rPr>
          <w:szCs w:val="24"/>
        </w:rPr>
        <w:t xml:space="preserve">pD activity and mROS production </w:t>
      </w:r>
      <w:r w:rsidR="008E53B3">
        <w:rPr>
          <w:szCs w:val="24"/>
        </w:rPr>
        <w:t>for cell survival.</w:t>
      </w:r>
      <w:r w:rsidR="00FB6FBF">
        <w:rPr>
          <w:szCs w:val="24"/>
        </w:rPr>
        <w:t xml:space="preserve"> </w:t>
      </w:r>
      <w:r w:rsidR="002D5E94" w:rsidRPr="002D5E94">
        <w:rPr>
          <w:szCs w:val="24"/>
        </w:rPr>
        <w:t>To</w:t>
      </w:r>
      <w:r w:rsidR="004C5BBB">
        <w:rPr>
          <w:szCs w:val="24"/>
        </w:rPr>
        <w:t xml:space="preserve">gether, our studies reveal that </w:t>
      </w:r>
      <w:r w:rsidR="002D5E94" w:rsidRPr="002D5E94">
        <w:rPr>
          <w:i/>
          <w:iCs/>
          <w:szCs w:val="24"/>
        </w:rPr>
        <w:t>TP53</w:t>
      </w:r>
      <w:r w:rsidR="004C5BBB">
        <w:rPr>
          <w:szCs w:val="24"/>
        </w:rPr>
        <w:t xml:space="preserve"> </w:t>
      </w:r>
      <w:r w:rsidR="002D5E94" w:rsidRPr="002D5E94">
        <w:rPr>
          <w:szCs w:val="24"/>
        </w:rPr>
        <w:t>exon-6 truncating mutations, contrary to current beliefs, act beyond p53 loss to promote tumorigenesis, and could inform the development of strategies to target cancers driven by these prevalent mutations</w:t>
      </w:r>
      <w:r w:rsidR="00F54C98">
        <w:rPr>
          <w:szCs w:val="24"/>
        </w:rPr>
        <w:t xml:space="preserve"> by inhibiting CypD activity and production of mROS dependent changes in cells.</w:t>
      </w:r>
    </w:p>
    <w:p w14:paraId="63C2D405" w14:textId="77777777" w:rsidR="007D4EFF" w:rsidRDefault="007D4EFF" w:rsidP="00F54C98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444CAED0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CDB4A16" w14:textId="77777777" w:rsidR="007D4EFF" w:rsidRDefault="007D4EFF" w:rsidP="002D5E9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13B616BF" w14:textId="77777777" w:rsidR="007D4EFF" w:rsidRPr="002E6079" w:rsidRDefault="007D4EFF" w:rsidP="00F54C98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szCs w:val="24"/>
        </w:rPr>
      </w:pPr>
    </w:p>
    <w:p w14:paraId="4B934E51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226837" w:rsidRPr="002E6079">
        <w:t xml:space="preserve"> </w:t>
      </w:r>
      <w:r w:rsidR="002D5E94">
        <w:t>April 24</w:t>
      </w:r>
      <w:r w:rsidR="007D4EFF" w:rsidRPr="002E6079">
        <w:t>,</w:t>
      </w:r>
      <w:r w:rsidR="002D5E94">
        <w:t xml:space="preserve"> 2017</w:t>
      </w:r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="002D5E94">
        <w:t xml:space="preserve">            </w:t>
      </w:r>
      <w:r w:rsidRPr="002E6079">
        <w:rPr>
          <w:b/>
        </w:rPr>
        <w:t>Program</w:t>
      </w:r>
      <w:r w:rsidRPr="002E6079">
        <w:t xml:space="preserve">: </w:t>
      </w:r>
      <w:r w:rsidR="002D5E94">
        <w:t>Genetics</w:t>
      </w:r>
      <w:r w:rsidRPr="002E6079">
        <w:t xml:space="preserve"> </w:t>
      </w:r>
    </w:p>
    <w:p w14:paraId="6D30445A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2D5E94">
        <w:t>10:00 am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</w:t>
      </w:r>
      <w:r w:rsidR="002D5E94">
        <w:t xml:space="preserve">       </w:t>
      </w:r>
      <w:r w:rsidRPr="002E6079">
        <w:rPr>
          <w:b/>
        </w:rPr>
        <w:t>Dissertation Advisor</w:t>
      </w:r>
      <w:r w:rsidRPr="002E6079">
        <w:t xml:space="preserve">: </w:t>
      </w:r>
      <w:r w:rsidR="002D5E94">
        <w:t>Raffaella Sordella</w:t>
      </w:r>
    </w:p>
    <w:p w14:paraId="6FBB231C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2D5E94">
        <w:t>Bush Auditorium, Cold Spring Harbor Laboratory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226837"/>
    <w:rsid w:val="00294E27"/>
    <w:rsid w:val="002D5E94"/>
    <w:rsid w:val="002E6079"/>
    <w:rsid w:val="00393630"/>
    <w:rsid w:val="003D61AD"/>
    <w:rsid w:val="004B5209"/>
    <w:rsid w:val="004C5BBB"/>
    <w:rsid w:val="005049C0"/>
    <w:rsid w:val="005227ED"/>
    <w:rsid w:val="00631F75"/>
    <w:rsid w:val="00644903"/>
    <w:rsid w:val="006617C5"/>
    <w:rsid w:val="006A3BD0"/>
    <w:rsid w:val="007B16E2"/>
    <w:rsid w:val="007D4EFF"/>
    <w:rsid w:val="007E54E6"/>
    <w:rsid w:val="00805949"/>
    <w:rsid w:val="008260BA"/>
    <w:rsid w:val="00874AB5"/>
    <w:rsid w:val="008E53B3"/>
    <w:rsid w:val="00927A3A"/>
    <w:rsid w:val="00BD0406"/>
    <w:rsid w:val="00C245F9"/>
    <w:rsid w:val="00C24DC6"/>
    <w:rsid w:val="00C56C99"/>
    <w:rsid w:val="00C6488E"/>
    <w:rsid w:val="00CD57C8"/>
    <w:rsid w:val="00D03977"/>
    <w:rsid w:val="00E36EF0"/>
    <w:rsid w:val="00E938FD"/>
    <w:rsid w:val="00F11B36"/>
    <w:rsid w:val="00F1267D"/>
    <w:rsid w:val="00F54C98"/>
    <w:rsid w:val="00F65431"/>
    <w:rsid w:val="00FB6FBF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929D"/>
  <w15:chartTrackingRefBased/>
  <w15:docId w15:val="{AA89E191-CF6C-434D-A9B9-CD833D66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2026-04-17T17:36:00Z</dcterms:created>
  <dcterms:modified xsi:type="dcterms:W3CDTF">2026-04-17T17:36:00Z</dcterms:modified>
</cp:coreProperties>
</file>