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0D73" w14:textId="77777777" w:rsidR="00D36056" w:rsidRPr="006D3E92" w:rsidRDefault="00D36056">
      <w:pPr>
        <w:spacing w:after="0"/>
        <w:ind w:left="-1440" w:right="246"/>
        <w:rPr>
          <w:rFonts w:ascii="Times New Roman" w:hAnsi="Times New Roman" w:cs="Times New Roman"/>
        </w:rPr>
      </w:pPr>
    </w:p>
    <w:tbl>
      <w:tblPr>
        <w:tblStyle w:val="TableGrid"/>
        <w:tblW w:w="8866" w:type="dxa"/>
        <w:tblInd w:w="248" w:type="dxa"/>
        <w:tblCellMar>
          <w:top w:w="15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8866"/>
      </w:tblGrid>
      <w:tr w:rsidR="00D36056" w:rsidRPr="006D3E92" w14:paraId="6FCE6489" w14:textId="77777777">
        <w:trPr>
          <w:trHeight w:val="12249"/>
        </w:trPr>
        <w:tc>
          <w:tcPr>
            <w:tcW w:w="88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A12E278" w14:textId="77777777" w:rsidR="00D36056" w:rsidRPr="006D3E92" w:rsidRDefault="00AA1181">
            <w:pPr>
              <w:ind w:left="441"/>
              <w:jc w:val="center"/>
              <w:rPr>
                <w:rFonts w:ascii="Times New Roman" w:hAnsi="Times New Roman" w:cs="Times New Roman"/>
              </w:rPr>
            </w:pPr>
            <w:r w:rsidRPr="006D3E92"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14:paraId="718712CC" w14:textId="77777777" w:rsidR="00D36056" w:rsidRPr="006D3E92" w:rsidRDefault="00AA1181">
            <w:pPr>
              <w:spacing w:line="238" w:lineRule="auto"/>
              <w:ind w:left="2635" w:right="2194"/>
              <w:jc w:val="center"/>
              <w:rPr>
                <w:rFonts w:ascii="Times New Roman" w:hAnsi="Times New Roman" w:cs="Times New Roman"/>
              </w:rPr>
            </w:pPr>
            <w:r w:rsidRPr="006D3E92">
              <w:rPr>
                <w:rFonts w:ascii="Times New Roman" w:eastAsia="Times New Roman" w:hAnsi="Times New Roman" w:cs="Times New Roman"/>
                <w:b/>
                <w:sz w:val="32"/>
              </w:rPr>
              <w:t xml:space="preserve">Stony Brook University </w:t>
            </w:r>
            <w:proofErr w:type="gramStart"/>
            <w:r w:rsidRPr="006D3E92">
              <w:rPr>
                <w:rFonts w:ascii="Times New Roman" w:eastAsia="Times New Roman" w:hAnsi="Times New Roman" w:cs="Times New Roman"/>
                <w:b/>
                <w:sz w:val="32"/>
              </w:rPr>
              <w:t>The</w:t>
            </w:r>
            <w:proofErr w:type="gramEnd"/>
            <w:r w:rsidRPr="006D3E92">
              <w:rPr>
                <w:rFonts w:ascii="Times New Roman" w:eastAsia="Times New Roman" w:hAnsi="Times New Roman" w:cs="Times New Roman"/>
                <w:b/>
                <w:sz w:val="32"/>
              </w:rPr>
              <w:t xml:space="preserve"> Graduate School </w:t>
            </w:r>
          </w:p>
          <w:p w14:paraId="65E909F4" w14:textId="77777777" w:rsidR="00D36056" w:rsidRPr="006D3E92" w:rsidRDefault="00AA1181">
            <w:pPr>
              <w:ind w:left="431"/>
              <w:jc w:val="center"/>
              <w:rPr>
                <w:rFonts w:ascii="Times New Roman" w:hAnsi="Times New Roman" w:cs="Times New Roman"/>
              </w:rPr>
            </w:pPr>
            <w:r w:rsidRPr="006D3E92">
              <w:rPr>
                <w:rFonts w:ascii="Times New Roman" w:eastAsia="Garamond" w:hAnsi="Times New Roman" w:cs="Times New Roman"/>
                <w:sz w:val="28"/>
              </w:rPr>
              <w:t xml:space="preserve"> </w:t>
            </w:r>
          </w:p>
          <w:p w14:paraId="382FBA92" w14:textId="77777777" w:rsidR="00D36056" w:rsidRPr="006D3E92" w:rsidRDefault="00AA1181">
            <w:pPr>
              <w:spacing w:after="136"/>
              <w:ind w:left="362"/>
              <w:jc w:val="center"/>
              <w:rPr>
                <w:rFonts w:ascii="Times New Roman" w:hAnsi="Times New Roman" w:cs="Times New Roman"/>
              </w:rPr>
            </w:pPr>
            <w:r w:rsidRPr="006D3E92">
              <w:rPr>
                <w:rFonts w:ascii="Times New Roman" w:eastAsia="Times New Roman" w:hAnsi="Times New Roman" w:cs="Times New Roman"/>
                <w:sz w:val="28"/>
              </w:rPr>
              <w:t xml:space="preserve">Doctoral Defense Announcement </w:t>
            </w:r>
          </w:p>
          <w:p w14:paraId="1A154038" w14:textId="77777777" w:rsidR="00D36056" w:rsidRPr="006D3E92" w:rsidRDefault="00AA1181">
            <w:pPr>
              <w:spacing w:after="93"/>
              <w:jc w:val="center"/>
              <w:rPr>
                <w:rFonts w:ascii="Times New Roman" w:hAnsi="Times New Roman" w:cs="Times New Roman"/>
              </w:rPr>
            </w:pPr>
            <w:r w:rsidRPr="006D3E92">
              <w:rPr>
                <w:rFonts w:ascii="Times New Roman" w:eastAsia="Times New Roman" w:hAnsi="Times New Roman" w:cs="Times New Roman"/>
                <w:b/>
                <w:sz w:val="28"/>
              </w:rPr>
              <w:t>Abstract</w:t>
            </w:r>
            <w:r w:rsidRPr="006D3E9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6921FC79" w14:textId="3FF36C7D" w:rsidR="002D0678" w:rsidRPr="006D3E92" w:rsidRDefault="00D518E1" w:rsidP="002D0678">
            <w:pPr>
              <w:spacing w:after="114"/>
              <w:ind w:lef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D3E92">
              <w:rPr>
                <w:rFonts w:ascii="Times New Roman" w:eastAsia="Times New Roman" w:hAnsi="Times New Roman" w:cs="Times New Roman"/>
                <w:b/>
                <w:sz w:val="24"/>
              </w:rPr>
              <w:t>A</w:t>
            </w:r>
            <w:r w:rsidR="002D0678" w:rsidRPr="006D3E92">
              <w:rPr>
                <w:rFonts w:ascii="Times New Roman" w:eastAsia="Times New Roman" w:hAnsi="Times New Roman" w:cs="Times New Roman"/>
                <w:b/>
                <w:sz w:val="24"/>
              </w:rPr>
              <w:t>nti-cancer mitochondrial metabolism drug, CPI-613, induction of catastrophic ATP depletion and cellular starvation</w:t>
            </w:r>
          </w:p>
          <w:p w14:paraId="7EB31F02" w14:textId="77777777" w:rsidR="00D36056" w:rsidRPr="006D3E92" w:rsidRDefault="00AA1181">
            <w:pPr>
              <w:spacing w:after="148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6D3E92">
              <w:rPr>
                <w:rFonts w:ascii="Times New Roman" w:eastAsia="Times New Roman" w:hAnsi="Times New Roman" w:cs="Times New Roman"/>
                <w:sz w:val="24"/>
              </w:rPr>
              <w:t>By</w:t>
            </w:r>
            <w:proofErr w:type="gramEnd"/>
            <w:r w:rsidRPr="006D3E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186C1B" w14:textId="7895CEA0" w:rsidR="00D36056" w:rsidRPr="006D3E92" w:rsidRDefault="00F31DA1" w:rsidP="002D0678">
            <w:pPr>
              <w:spacing w:after="90"/>
              <w:ind w:left="1"/>
              <w:jc w:val="center"/>
              <w:rPr>
                <w:rFonts w:ascii="Times New Roman" w:eastAsia="Garamond" w:hAnsi="Times New Roman" w:cs="Times New Roman"/>
                <w:b/>
                <w:sz w:val="28"/>
              </w:rPr>
            </w:pPr>
            <w:r w:rsidRPr="006D3E92">
              <w:rPr>
                <w:rFonts w:ascii="Times New Roman" w:eastAsia="Times New Roman" w:hAnsi="Times New Roman" w:cs="Times New Roman"/>
                <w:b/>
                <w:sz w:val="24"/>
              </w:rPr>
              <w:t>Moises O. Guardado Rivas</w:t>
            </w:r>
          </w:p>
          <w:p w14:paraId="0A927DAF" w14:textId="77777777" w:rsidR="002D0678" w:rsidRPr="006D3E92" w:rsidRDefault="002D0678" w:rsidP="002D0678">
            <w:pPr>
              <w:spacing w:after="90"/>
              <w:ind w:left="1"/>
              <w:jc w:val="center"/>
              <w:rPr>
                <w:rFonts w:ascii="Times New Roman" w:hAnsi="Times New Roman" w:cs="Times New Roman"/>
              </w:rPr>
            </w:pPr>
          </w:p>
          <w:p w14:paraId="3BE1BD2D" w14:textId="40B03098" w:rsidR="00D36056" w:rsidRPr="006D3E92" w:rsidRDefault="002D0678" w:rsidP="0096226B">
            <w:pPr>
              <w:pStyle w:val="NoSpacing"/>
              <w:rPr>
                <w:rFonts w:ascii="Times New Roman" w:eastAsia="Garamond" w:hAnsi="Times New Roman" w:cs="Times New Roman"/>
                <w:sz w:val="24"/>
              </w:rPr>
            </w:pPr>
            <w:r w:rsidRPr="006D3E92">
              <w:rPr>
                <w:rFonts w:ascii="Times New Roman" w:hAnsi="Times New Roman" w:cs="Times New Roman"/>
              </w:rPr>
              <w:t xml:space="preserve">CPI-613 is a </w:t>
            </w:r>
            <w:proofErr w:type="gramStart"/>
            <w:r w:rsidRPr="006D3E92">
              <w:rPr>
                <w:rFonts w:ascii="Times New Roman" w:hAnsi="Times New Roman" w:cs="Times New Roman"/>
              </w:rPr>
              <w:t>mechanistically</w:t>
            </w:r>
            <w:proofErr w:type="gramEnd"/>
            <w:r w:rsidRPr="006D3E92">
              <w:rPr>
                <w:rFonts w:ascii="Times New Roman" w:hAnsi="Times New Roman" w:cs="Times New Roman"/>
              </w:rPr>
              <w:t xml:space="preserve"> novel, first-in-class lipoate analog. </w:t>
            </w:r>
            <w:r w:rsidRPr="006D3E92">
              <w:rPr>
                <w:rFonts w:ascii="Times New Roman" w:hAnsi="Times New Roman" w:cs="Times New Roman"/>
                <w:i/>
                <w:iCs/>
              </w:rPr>
              <w:t>In vitro</w:t>
            </w:r>
            <w:r w:rsidRPr="006D3E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D3E92">
              <w:rPr>
                <w:rFonts w:ascii="Times New Roman" w:hAnsi="Times New Roman" w:cs="Times New Roman"/>
              </w:rPr>
              <w:t xml:space="preserve">and </w:t>
            </w:r>
            <w:r w:rsidRPr="006D3E92">
              <w:rPr>
                <w:rFonts w:ascii="Times New Roman" w:hAnsi="Times New Roman" w:cs="Times New Roman"/>
                <w:i/>
                <w:iCs/>
              </w:rPr>
              <w:t>in</w:t>
            </w:r>
            <w:proofErr w:type="gramEnd"/>
            <w:r w:rsidRPr="006D3E92">
              <w:rPr>
                <w:rFonts w:ascii="Times New Roman" w:hAnsi="Times New Roman" w:cs="Times New Roman"/>
                <w:i/>
                <w:iCs/>
              </w:rPr>
              <w:t xml:space="preserve"> vivo</w:t>
            </w:r>
            <w:r w:rsidR="00603217">
              <w:rPr>
                <w:rFonts w:ascii="Times New Roman" w:hAnsi="Times New Roman" w:cs="Times New Roman"/>
              </w:rPr>
              <w:t>,</w:t>
            </w:r>
            <w:r w:rsidRPr="006D3E92">
              <w:rPr>
                <w:rFonts w:ascii="Times New Roman" w:hAnsi="Times New Roman" w:cs="Times New Roman"/>
              </w:rPr>
              <w:t xml:space="preserve"> CPI-613 </w:t>
            </w:r>
            <w:proofErr w:type="gramStart"/>
            <w:r w:rsidRPr="006D3E92">
              <w:rPr>
                <w:rFonts w:ascii="Times New Roman" w:hAnsi="Times New Roman" w:cs="Times New Roman"/>
              </w:rPr>
              <w:t>inhibits</w:t>
            </w:r>
            <w:proofErr w:type="gramEnd"/>
            <w:r w:rsidRPr="006D3E92">
              <w:rPr>
                <w:rFonts w:ascii="Times New Roman" w:hAnsi="Times New Roman" w:cs="Times New Roman"/>
              </w:rPr>
              <w:t xml:space="preserve"> tumor cell pyruvate dehydrogenase (PDH) and alpha-ketoglutarate (KGDH), both </w:t>
            </w:r>
            <w:r w:rsidR="00603217">
              <w:rPr>
                <w:rFonts w:ascii="Times New Roman" w:hAnsi="Times New Roman" w:cs="Times New Roman"/>
              </w:rPr>
              <w:t xml:space="preserve">of which are </w:t>
            </w:r>
            <w:r w:rsidRPr="006D3E92">
              <w:rPr>
                <w:rFonts w:ascii="Times New Roman" w:hAnsi="Times New Roman" w:cs="Times New Roman"/>
              </w:rPr>
              <w:t xml:space="preserve">mitochondrial enzymes used in the </w:t>
            </w:r>
            <w:r w:rsidR="008675EA" w:rsidRPr="008675EA">
              <w:rPr>
                <w:rFonts w:ascii="Times New Roman" w:hAnsi="Times New Roman" w:cs="Times New Roman"/>
              </w:rPr>
              <w:t>tricarboxylic acid cycle</w:t>
            </w:r>
            <w:r w:rsidRPr="006D3E92">
              <w:rPr>
                <w:rFonts w:ascii="Times New Roman" w:hAnsi="Times New Roman" w:cs="Times New Roman"/>
              </w:rPr>
              <w:t>. Moreover, CPI-613 has significant clinical activity against pancreatic</w:t>
            </w:r>
            <w:r w:rsidR="008675EA">
              <w:rPr>
                <w:rFonts w:ascii="Times New Roman" w:hAnsi="Times New Roman" w:cs="Times New Roman"/>
              </w:rPr>
              <w:t xml:space="preserve"> ductal adenocarcinoma</w:t>
            </w:r>
            <w:r w:rsidRPr="006D3E92">
              <w:rPr>
                <w:rFonts w:ascii="Times New Roman" w:hAnsi="Times New Roman" w:cs="Times New Roman"/>
              </w:rPr>
              <w:t xml:space="preserve"> and </w:t>
            </w:r>
            <w:r w:rsidR="008675EA">
              <w:rPr>
                <w:rFonts w:ascii="Times New Roman" w:hAnsi="Times New Roman" w:cs="Times New Roman"/>
              </w:rPr>
              <w:t xml:space="preserve">acute myeloid leukemia malignancies </w:t>
            </w:r>
            <w:r w:rsidRPr="006D3E92">
              <w:rPr>
                <w:rFonts w:ascii="Times New Roman" w:hAnsi="Times New Roman" w:cs="Times New Roman"/>
              </w:rPr>
              <w:t xml:space="preserve">in combination with standards of care for these diseases. However, the details of the processes presumptively leading from PDH/KGDH attack to clinical significance remain largely unexplored. In this work, we show that initial CPI-613 attack on tumor mitochondrial metabolism provokes a chain of homeostatic responses, which drive accelerated consumption of both exogenous and endogenous nutrient stores (including carbohydrates and lipids). This drug-induced accelerated starvation is essential for the induction of tumor cell death in culture at doses observed in patients and under </w:t>
            </w:r>
            <w:r w:rsidR="00D518E1" w:rsidRPr="006D3E92">
              <w:rPr>
                <w:rFonts w:ascii="Times New Roman" w:hAnsi="Times New Roman" w:cs="Times New Roman"/>
              </w:rPr>
              <w:t xml:space="preserve">in vivo tumor microenvironment-like </w:t>
            </w:r>
            <w:r w:rsidRPr="006D3E92">
              <w:rPr>
                <w:rFonts w:ascii="Times New Roman" w:hAnsi="Times New Roman" w:cs="Times New Roman"/>
              </w:rPr>
              <w:t xml:space="preserve">nutrient-limited conditions. These metabolic responses to CPI-613 reveal some previously unrecognized features of tumor metabolic regulation. Additionally, we find strong synergies between CPI-613 and potentially clinically useful, mechanistically diverse anti-metabolic agents, </w:t>
            </w:r>
            <w:r w:rsidRPr="006D3E92">
              <w:rPr>
                <w:rFonts w:ascii="Times New Roman" w:hAnsi="Times New Roman" w:cs="Times New Roman"/>
                <w:i/>
                <w:iCs/>
              </w:rPr>
              <w:t>in vitro</w:t>
            </w:r>
            <w:r w:rsidRPr="006D3E92">
              <w:rPr>
                <w:rFonts w:ascii="Times New Roman" w:hAnsi="Times New Roman" w:cs="Times New Roman"/>
              </w:rPr>
              <w:t xml:space="preserve"> and </w:t>
            </w:r>
            <w:r w:rsidRPr="006D3E92">
              <w:rPr>
                <w:rFonts w:ascii="Times New Roman" w:hAnsi="Times New Roman" w:cs="Times New Roman"/>
                <w:i/>
                <w:iCs/>
              </w:rPr>
              <w:t>in vivo</w:t>
            </w:r>
            <w:r w:rsidRPr="006D3E92">
              <w:rPr>
                <w:rFonts w:ascii="Times New Roman" w:hAnsi="Times New Roman" w:cs="Times New Roman"/>
              </w:rPr>
              <w:t xml:space="preserve">, as predicted by the drug-induced accelerated starvation proposed model. </w:t>
            </w:r>
            <w:r w:rsidR="0096226B" w:rsidRPr="006D3E92">
              <w:rPr>
                <w:rFonts w:ascii="Times New Roman" w:hAnsi="Times New Roman" w:cs="Times New Roman"/>
              </w:rPr>
              <w:t xml:space="preserve">More specifically, cell line differences in nutrient stores account for </w:t>
            </w:r>
            <w:r w:rsidR="00FF7158" w:rsidRPr="006D3E92">
              <w:rPr>
                <w:rFonts w:ascii="Times New Roman" w:hAnsi="Times New Roman" w:cs="Times New Roman"/>
              </w:rPr>
              <w:t>most</w:t>
            </w:r>
            <w:r w:rsidR="0096226B" w:rsidRPr="006D3E92">
              <w:rPr>
                <w:rFonts w:ascii="Times New Roman" w:hAnsi="Times New Roman" w:cs="Times New Roman"/>
              </w:rPr>
              <w:t xml:space="preserve"> or </w:t>
            </w:r>
            <w:proofErr w:type="gramStart"/>
            <w:r w:rsidR="0096226B" w:rsidRPr="006D3E92">
              <w:rPr>
                <w:rFonts w:ascii="Times New Roman" w:hAnsi="Times New Roman" w:cs="Times New Roman"/>
              </w:rPr>
              <w:t xml:space="preserve">all </w:t>
            </w:r>
            <w:r w:rsidR="00603217">
              <w:rPr>
                <w:rFonts w:ascii="Times New Roman" w:hAnsi="Times New Roman" w:cs="Times New Roman"/>
              </w:rPr>
              <w:t>of</w:t>
            </w:r>
            <w:proofErr w:type="gramEnd"/>
            <w:r w:rsidR="00603217">
              <w:rPr>
                <w:rFonts w:ascii="Times New Roman" w:hAnsi="Times New Roman" w:cs="Times New Roman"/>
              </w:rPr>
              <w:t xml:space="preserve"> </w:t>
            </w:r>
            <w:r w:rsidR="00FF7158" w:rsidRPr="006D3E92">
              <w:rPr>
                <w:rFonts w:ascii="Times New Roman" w:hAnsi="Times New Roman" w:cs="Times New Roman"/>
              </w:rPr>
              <w:t>the</w:t>
            </w:r>
            <w:r w:rsidR="0096226B" w:rsidRPr="006D3E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6226B" w:rsidRPr="006D3E92">
              <w:rPr>
                <w:rFonts w:ascii="Times New Roman" w:hAnsi="Times New Roman" w:cs="Times New Roman"/>
              </w:rPr>
              <w:t>differential</w:t>
            </w:r>
            <w:proofErr w:type="gramEnd"/>
            <w:r w:rsidR="00FF7158" w:rsidRPr="006D3E92">
              <w:rPr>
                <w:rFonts w:ascii="Times New Roman" w:hAnsi="Times New Roman" w:cs="Times New Roman"/>
              </w:rPr>
              <w:t xml:space="preserve"> in</w:t>
            </w:r>
            <w:r w:rsidR="0096226B" w:rsidRPr="006D3E92">
              <w:rPr>
                <w:rFonts w:ascii="Times New Roman" w:hAnsi="Times New Roman" w:cs="Times New Roman"/>
              </w:rPr>
              <w:t xml:space="preserve"> sensitivity to CPI-613 </w:t>
            </w:r>
            <w:r w:rsidR="0096226B" w:rsidRPr="006D3E92">
              <w:rPr>
                <w:rFonts w:ascii="Times New Roman" w:hAnsi="Times New Roman" w:cs="Times New Roman"/>
                <w:i/>
                <w:iCs/>
              </w:rPr>
              <w:t>in vitro</w:t>
            </w:r>
            <w:r w:rsidR="0096226B" w:rsidRPr="006D3E92">
              <w:rPr>
                <w:rFonts w:ascii="Times New Roman" w:hAnsi="Times New Roman" w:cs="Times New Roman"/>
              </w:rPr>
              <w:t xml:space="preserve"> and, apparently, </w:t>
            </w:r>
            <w:r w:rsidR="0096226B" w:rsidRPr="006D3E92">
              <w:rPr>
                <w:rFonts w:ascii="Times New Roman" w:hAnsi="Times New Roman" w:cs="Times New Roman"/>
                <w:i/>
                <w:iCs/>
              </w:rPr>
              <w:t>in vivo</w:t>
            </w:r>
            <w:r w:rsidR="0096226B" w:rsidRPr="006D3E92">
              <w:rPr>
                <w:rFonts w:ascii="Times New Roman" w:hAnsi="Times New Roman" w:cs="Times New Roman"/>
              </w:rPr>
              <w:t xml:space="preserve">. Clinically viable ways to attack these cell line-specific sources of resistance exist, potentially opening approaches to further improvement in the substantial clinical efficacy of CPI-613. Other details of </w:t>
            </w:r>
            <w:r w:rsidR="00FF7158" w:rsidRPr="006D3E92">
              <w:rPr>
                <w:rFonts w:ascii="Times New Roman" w:hAnsi="Times New Roman" w:cs="Times New Roman"/>
              </w:rPr>
              <w:t>the investigation</w:t>
            </w:r>
            <w:r w:rsidR="0096226B" w:rsidRPr="006D3E92">
              <w:rPr>
                <w:rFonts w:ascii="Times New Roman" w:hAnsi="Times New Roman" w:cs="Times New Roman"/>
              </w:rPr>
              <w:t xml:space="preserve"> reveal unexpected mechanisms for the strong synergy of CPI-613 with several traditional standards of care.</w:t>
            </w:r>
            <w:r w:rsidR="00AA1181" w:rsidRPr="006D3E92">
              <w:rPr>
                <w:rFonts w:ascii="Times New Roman" w:eastAsia="Garamond" w:hAnsi="Times New Roman" w:cs="Times New Roman"/>
                <w:sz w:val="24"/>
              </w:rPr>
              <w:t xml:space="preserve"> </w:t>
            </w:r>
          </w:p>
          <w:p w14:paraId="20024BE2" w14:textId="1325EC87" w:rsidR="00FF7158" w:rsidRPr="006D3E92" w:rsidRDefault="00FF7158" w:rsidP="0096226B">
            <w:pPr>
              <w:pStyle w:val="NoSpacing"/>
              <w:rPr>
                <w:rFonts w:ascii="Times New Roman" w:eastAsia="Garamond" w:hAnsi="Times New Roman" w:cs="Times New Roman"/>
                <w:sz w:val="24"/>
              </w:rPr>
            </w:pPr>
          </w:p>
          <w:p w14:paraId="30EFBF33" w14:textId="7886DE4B" w:rsidR="00FF7158" w:rsidRPr="006D3E92" w:rsidRDefault="00FF7158" w:rsidP="0096226B">
            <w:pPr>
              <w:pStyle w:val="NoSpacing"/>
              <w:rPr>
                <w:rFonts w:ascii="Times New Roman" w:eastAsia="Garamond" w:hAnsi="Times New Roman" w:cs="Times New Roman"/>
                <w:sz w:val="24"/>
              </w:rPr>
            </w:pPr>
          </w:p>
          <w:p w14:paraId="690ACA1F" w14:textId="28A84C07" w:rsidR="00FF7158" w:rsidRDefault="00FF7158" w:rsidP="0096226B">
            <w:pPr>
              <w:pStyle w:val="NoSpacing"/>
              <w:rPr>
                <w:rFonts w:ascii="Times New Roman" w:eastAsia="Garamond" w:hAnsi="Times New Roman" w:cs="Times New Roman"/>
                <w:sz w:val="24"/>
              </w:rPr>
            </w:pPr>
          </w:p>
          <w:p w14:paraId="5B7969CE" w14:textId="5BDCE5B1" w:rsidR="006D3E92" w:rsidRDefault="006D3E92" w:rsidP="0096226B">
            <w:pPr>
              <w:pStyle w:val="NoSpacing"/>
              <w:rPr>
                <w:rFonts w:ascii="Times New Roman" w:eastAsia="Garamond" w:hAnsi="Times New Roman" w:cs="Times New Roman"/>
                <w:sz w:val="24"/>
              </w:rPr>
            </w:pPr>
          </w:p>
          <w:p w14:paraId="446499AF" w14:textId="77777777" w:rsidR="006D3E92" w:rsidRPr="006D3E92" w:rsidRDefault="006D3E92" w:rsidP="0096226B">
            <w:pPr>
              <w:pStyle w:val="NoSpacing"/>
              <w:rPr>
                <w:rFonts w:ascii="Times New Roman" w:eastAsia="Garamond" w:hAnsi="Times New Roman" w:cs="Times New Roman"/>
                <w:sz w:val="24"/>
              </w:rPr>
            </w:pPr>
          </w:p>
          <w:p w14:paraId="768B3A10" w14:textId="563F7B76" w:rsidR="00FF7158" w:rsidRPr="006D3E92" w:rsidRDefault="00FF7158" w:rsidP="0096226B">
            <w:pPr>
              <w:pStyle w:val="NoSpacing"/>
              <w:rPr>
                <w:rFonts w:ascii="Times New Roman" w:eastAsia="Garamond" w:hAnsi="Times New Roman" w:cs="Times New Roman"/>
                <w:sz w:val="24"/>
              </w:rPr>
            </w:pPr>
          </w:p>
          <w:p w14:paraId="5C703D40" w14:textId="58EAA2DB" w:rsidR="00FF7158" w:rsidRPr="006D3E92" w:rsidRDefault="00FF7158" w:rsidP="0096226B">
            <w:pPr>
              <w:pStyle w:val="NoSpacing"/>
              <w:rPr>
                <w:rFonts w:ascii="Times New Roman" w:eastAsia="Garamond" w:hAnsi="Times New Roman" w:cs="Times New Roman"/>
                <w:sz w:val="24"/>
              </w:rPr>
            </w:pPr>
          </w:p>
          <w:p w14:paraId="490D1B3C" w14:textId="77777777" w:rsidR="00FF7158" w:rsidRPr="006D3E92" w:rsidRDefault="00FF7158" w:rsidP="00FF7158">
            <w:pPr>
              <w:rPr>
                <w:rFonts w:ascii="Times New Roman" w:hAnsi="Times New Roman" w:cs="Times New Roman"/>
              </w:rPr>
            </w:pPr>
          </w:p>
          <w:p w14:paraId="10BB7079" w14:textId="77777777" w:rsidR="00D36056" w:rsidRPr="006D3E92" w:rsidRDefault="00AA1181">
            <w:pPr>
              <w:ind w:left="360"/>
              <w:rPr>
                <w:rFonts w:ascii="Times New Roman" w:hAnsi="Times New Roman" w:cs="Times New Roman"/>
              </w:rPr>
            </w:pPr>
            <w:r w:rsidRPr="006D3E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D69B04" w14:textId="76E2707E" w:rsidR="00D36056" w:rsidRPr="006D3E92" w:rsidRDefault="00AA1181" w:rsidP="00F31DA1">
            <w:pPr>
              <w:tabs>
                <w:tab w:val="center" w:pos="1416"/>
                <w:tab w:val="center" w:pos="4857"/>
              </w:tabs>
              <w:rPr>
                <w:rFonts w:ascii="Times New Roman" w:hAnsi="Times New Roman" w:cs="Times New Roman"/>
              </w:rPr>
            </w:pPr>
            <w:r w:rsidRPr="006D3E92">
              <w:rPr>
                <w:rFonts w:ascii="Times New Roman" w:eastAsia="Times New Roman" w:hAnsi="Times New Roman" w:cs="Times New Roman"/>
                <w:b/>
                <w:sz w:val="24"/>
              </w:rPr>
              <w:t>Date</w:t>
            </w:r>
            <w:r w:rsidRPr="006D3E92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F31DA1" w:rsidRPr="006D3E92">
              <w:rPr>
                <w:rFonts w:ascii="Times New Roman" w:eastAsia="Times New Roman" w:hAnsi="Times New Roman" w:cs="Times New Roman"/>
                <w:sz w:val="24"/>
              </w:rPr>
              <w:t>August 6th</w:t>
            </w:r>
            <w:r w:rsidRPr="006D3E92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gramStart"/>
            <w:r w:rsidR="00F31DA1" w:rsidRPr="006D3E92">
              <w:rPr>
                <w:rFonts w:ascii="Times New Roman" w:eastAsia="Times New Roman" w:hAnsi="Times New Roman" w:cs="Times New Roman"/>
                <w:sz w:val="24"/>
              </w:rPr>
              <w:t>2019</w:t>
            </w:r>
            <w:proofErr w:type="gramEnd"/>
            <w:r w:rsidRPr="006D3E92"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</w:t>
            </w:r>
            <w:r w:rsidR="00F31DA1" w:rsidRPr="006D3E92">
              <w:rPr>
                <w:rFonts w:ascii="Times New Roman" w:eastAsia="Times New Roman" w:hAnsi="Times New Roman" w:cs="Times New Roman"/>
                <w:sz w:val="24"/>
              </w:rPr>
              <w:t xml:space="preserve">                  </w:t>
            </w:r>
            <w:r w:rsidRPr="006D3E92">
              <w:rPr>
                <w:rFonts w:ascii="Times New Roman" w:eastAsia="Times New Roman" w:hAnsi="Times New Roman" w:cs="Times New Roman"/>
                <w:b/>
                <w:sz w:val="24"/>
              </w:rPr>
              <w:t>Program</w:t>
            </w:r>
            <w:r w:rsidRPr="006D3E92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F31DA1" w:rsidRPr="006D3E92">
              <w:rPr>
                <w:rFonts w:ascii="Times New Roman" w:eastAsia="Times New Roman" w:hAnsi="Times New Roman" w:cs="Times New Roman"/>
                <w:sz w:val="24"/>
              </w:rPr>
              <w:t>Graduate Program in Genetics</w:t>
            </w:r>
          </w:p>
          <w:p w14:paraId="51946C5D" w14:textId="6645861E" w:rsidR="00F31DA1" w:rsidRPr="006D3E92" w:rsidRDefault="00AA1181" w:rsidP="00F31DA1">
            <w:pPr>
              <w:ind w:right="852"/>
              <w:rPr>
                <w:rFonts w:ascii="Times New Roman" w:eastAsia="Times New Roman" w:hAnsi="Times New Roman" w:cs="Times New Roman"/>
                <w:sz w:val="24"/>
              </w:rPr>
            </w:pPr>
            <w:r w:rsidRPr="006D3E92">
              <w:rPr>
                <w:rFonts w:ascii="Times New Roman" w:eastAsia="Times New Roman" w:hAnsi="Times New Roman" w:cs="Times New Roman"/>
                <w:b/>
                <w:sz w:val="24"/>
              </w:rPr>
              <w:t>Time</w:t>
            </w:r>
            <w:r w:rsidRPr="006D3E92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F31DA1" w:rsidRPr="006D3E92">
              <w:rPr>
                <w:rFonts w:ascii="Times New Roman" w:eastAsia="Times New Roman" w:hAnsi="Times New Roman" w:cs="Times New Roman"/>
                <w:sz w:val="24"/>
              </w:rPr>
              <w:t>2:00 PM</w:t>
            </w:r>
            <w:r w:rsidRPr="006D3E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D3E92">
              <w:rPr>
                <w:rFonts w:ascii="Times New Roman" w:eastAsia="Times New Roman" w:hAnsi="Times New Roman" w:cs="Times New Roman"/>
                <w:sz w:val="24"/>
              </w:rPr>
              <w:tab/>
              <w:t xml:space="preserve">                   </w:t>
            </w:r>
            <w:r w:rsidR="00F31DA1" w:rsidRPr="006D3E92"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Pr="006D3E92">
              <w:rPr>
                <w:rFonts w:ascii="Times New Roman" w:eastAsia="Times New Roman" w:hAnsi="Times New Roman" w:cs="Times New Roman"/>
                <w:b/>
                <w:sz w:val="24"/>
              </w:rPr>
              <w:t>Dissertation Advisor</w:t>
            </w:r>
            <w:r w:rsidRPr="006D3E92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F31DA1" w:rsidRPr="006D3E92">
              <w:rPr>
                <w:rFonts w:ascii="Times New Roman" w:eastAsia="Times New Roman" w:hAnsi="Times New Roman" w:cs="Times New Roman"/>
                <w:sz w:val="24"/>
              </w:rPr>
              <w:t>Paul M. Bingham</w:t>
            </w:r>
          </w:p>
          <w:p w14:paraId="21059FC1" w14:textId="52BB1489" w:rsidR="00D36056" w:rsidRPr="006D3E92" w:rsidRDefault="00AA1181" w:rsidP="00F31DA1">
            <w:pPr>
              <w:ind w:right="852"/>
              <w:rPr>
                <w:rFonts w:ascii="Times New Roman" w:hAnsi="Times New Roman" w:cs="Times New Roman"/>
              </w:rPr>
            </w:pPr>
            <w:r w:rsidRPr="006D3E92"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  <w:r w:rsidRPr="006D3E92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r w:rsidR="00F31DA1" w:rsidRPr="006D3E92">
              <w:rPr>
                <w:rFonts w:ascii="Times New Roman" w:eastAsia="Times New Roman" w:hAnsi="Times New Roman" w:cs="Times New Roman"/>
                <w:sz w:val="24"/>
              </w:rPr>
              <w:t>Life Science</w:t>
            </w:r>
            <w:r w:rsidR="00E06308">
              <w:rPr>
                <w:rFonts w:ascii="Times New Roman" w:eastAsia="Times New Roman" w:hAnsi="Times New Roman" w:cs="Times New Roman"/>
                <w:sz w:val="24"/>
              </w:rPr>
              <w:t>s</w:t>
            </w:r>
            <w:r w:rsidR="00F31DA1" w:rsidRPr="006D3E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06308">
              <w:rPr>
                <w:rFonts w:ascii="Times New Roman" w:eastAsia="Times New Roman" w:hAnsi="Times New Roman" w:cs="Times New Roman"/>
                <w:sz w:val="24"/>
              </w:rPr>
              <w:t>B</w:t>
            </w:r>
            <w:r w:rsidR="00F31DA1" w:rsidRPr="006D3E92">
              <w:rPr>
                <w:rFonts w:ascii="Times New Roman" w:eastAsia="Times New Roman" w:hAnsi="Times New Roman" w:cs="Times New Roman"/>
                <w:sz w:val="24"/>
              </w:rPr>
              <w:t>uilding, Room 038</w:t>
            </w:r>
            <w:r w:rsidRPr="006D3E9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BF3E02B" w14:textId="047ACDE1" w:rsidR="00AA1181" w:rsidRPr="006D3E92" w:rsidRDefault="00AA1181" w:rsidP="006D3E92">
      <w:pPr>
        <w:rPr>
          <w:rFonts w:ascii="Times New Roman" w:hAnsi="Times New Roman" w:cs="Times New Roman"/>
        </w:rPr>
      </w:pPr>
    </w:p>
    <w:sectPr w:rsidR="00AA1181" w:rsidRPr="006D3E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56"/>
    <w:rsid w:val="000E2929"/>
    <w:rsid w:val="00237DDD"/>
    <w:rsid w:val="002D0678"/>
    <w:rsid w:val="002F3335"/>
    <w:rsid w:val="0033781E"/>
    <w:rsid w:val="003F167E"/>
    <w:rsid w:val="0053753F"/>
    <w:rsid w:val="00603217"/>
    <w:rsid w:val="006D3E92"/>
    <w:rsid w:val="00730DEA"/>
    <w:rsid w:val="008675EA"/>
    <w:rsid w:val="0096226B"/>
    <w:rsid w:val="00AA1181"/>
    <w:rsid w:val="00D36056"/>
    <w:rsid w:val="00D518E1"/>
    <w:rsid w:val="00E06308"/>
    <w:rsid w:val="00F31DA1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2221"/>
  <w15:docId w15:val="{B1702C3D-CCFE-4575-83C2-DA442EDE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D0678"/>
    <w:pPr>
      <w:spacing w:after="0" w:line="240" w:lineRule="auto"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603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217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21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21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GRADUATE SCHOOL BULLETIN</vt:lpstr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GRADUATE SCHOOL BULLETIN</dc:title>
  <dc:subject/>
  <dc:creator>Yordanos G. Beyene</dc:creator>
  <cp:keywords/>
  <cp:lastModifiedBy>Martha Furie</cp:lastModifiedBy>
  <cp:revision>2</cp:revision>
  <dcterms:created xsi:type="dcterms:W3CDTF">2026-04-17T17:49:00Z</dcterms:created>
  <dcterms:modified xsi:type="dcterms:W3CDTF">2026-04-17T17:49:00Z</dcterms:modified>
</cp:coreProperties>
</file>