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16F8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25EBE072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650E304E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Graduate School</w:t>
      </w:r>
    </w:p>
    <w:p w14:paraId="6C6017B2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3D79EF11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09D52C21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520AB65E" w14:textId="77777777" w:rsidR="001415CF" w:rsidRPr="002E6079" w:rsidRDefault="009C6647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 xml:space="preserve">The role of ceramide synthases in the pathogenicity of </w:t>
      </w:r>
      <w:r w:rsidRPr="009C6647">
        <w:rPr>
          <w:i/>
        </w:rPr>
        <w:t>Cryptococcus neoformans</w:t>
      </w:r>
    </w:p>
    <w:p w14:paraId="00031FD3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E6079">
        <w:t>By</w:t>
      </w:r>
    </w:p>
    <w:p w14:paraId="12E895CE" w14:textId="77777777" w:rsidR="008260BA" w:rsidRPr="002E6079" w:rsidRDefault="009C6647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Mansa A. Munshi</w:t>
      </w:r>
    </w:p>
    <w:p w14:paraId="7FC7C37E" w14:textId="77777777" w:rsidR="008260BA" w:rsidRDefault="008260BA" w:rsidP="009C6647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rPr>
          <w:rFonts w:ascii="Garamond" w:hAnsi="Garamond"/>
          <w:b/>
          <w:sz w:val="28"/>
          <w:szCs w:val="28"/>
        </w:rPr>
      </w:pPr>
    </w:p>
    <w:p w14:paraId="2DA3C7A0" w14:textId="77777777" w:rsidR="009C6647" w:rsidRPr="009C6647" w:rsidRDefault="009C6647" w:rsidP="009C664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  <w:r w:rsidRPr="009C6647">
        <w:rPr>
          <w:rFonts w:ascii="Garamond" w:hAnsi="Garamond"/>
          <w:i/>
          <w:szCs w:val="24"/>
        </w:rPr>
        <w:t>Cryptococcus neoformans (C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i/>
          <w:szCs w:val="24"/>
        </w:rPr>
        <w:t>)</w:t>
      </w:r>
      <w:r w:rsidRPr="009C664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causes an estimated 220,000 new cases of cryptococcosis every year in patients with AIDS. </w:t>
      </w:r>
      <w:r w:rsidRPr="009C6647">
        <w:rPr>
          <w:rFonts w:ascii="Garamond" w:hAnsi="Garamond"/>
          <w:szCs w:val="24"/>
        </w:rPr>
        <w:t xml:space="preserve">The uniqueness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as a pathogen lies in its ability to thrive effectively within varying host conditions. Specifically, upon inhalation,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spores enter the lung alveolar space</w:t>
      </w:r>
      <w:r w:rsidR="00C85CEF">
        <w:rPr>
          <w:rFonts w:ascii="Garamond" w:hAnsi="Garamond"/>
          <w:szCs w:val="24"/>
        </w:rPr>
        <w:t>,</w:t>
      </w:r>
      <w:r w:rsidRPr="009C6647">
        <w:rPr>
          <w:rFonts w:ascii="Garamond" w:hAnsi="Garamond"/>
          <w:szCs w:val="24"/>
        </w:rPr>
        <w:t xml:space="preserve"> </w:t>
      </w:r>
      <w:r w:rsidR="00C85CEF">
        <w:rPr>
          <w:rFonts w:ascii="Garamond" w:hAnsi="Garamond"/>
          <w:szCs w:val="24"/>
        </w:rPr>
        <w:t>which</w:t>
      </w:r>
      <w:r w:rsidRPr="009C6647">
        <w:rPr>
          <w:rFonts w:ascii="Garamond" w:hAnsi="Garamond"/>
          <w:szCs w:val="24"/>
        </w:rPr>
        <w:t xml:space="preserve"> has a neutral/alkaline pH</w:t>
      </w:r>
      <w:r w:rsidR="00C85CEF">
        <w:rPr>
          <w:rFonts w:ascii="Garamond" w:hAnsi="Garamond"/>
          <w:szCs w:val="24"/>
        </w:rPr>
        <w:t>,</w:t>
      </w:r>
      <w:r w:rsidRPr="009C6647">
        <w:rPr>
          <w:rFonts w:ascii="Garamond" w:hAnsi="Garamond"/>
          <w:szCs w:val="24"/>
        </w:rPr>
        <w:t xml:space="preserve"> and are eventually engulfed </w:t>
      </w:r>
      <w:r w:rsidR="00C85CEF">
        <w:rPr>
          <w:rFonts w:ascii="Garamond" w:hAnsi="Garamond"/>
          <w:szCs w:val="24"/>
        </w:rPr>
        <w:t xml:space="preserve">by </w:t>
      </w:r>
      <w:r w:rsidRPr="009C6647">
        <w:rPr>
          <w:rFonts w:ascii="Garamond" w:hAnsi="Garamond"/>
          <w:szCs w:val="24"/>
        </w:rPr>
        <w:t>an alveolar macrophage. Inside the macrophage, the conditions are highly acidic</w:t>
      </w:r>
      <w:r w:rsidR="00C85CEF">
        <w:rPr>
          <w:rFonts w:ascii="Garamond" w:hAnsi="Garamond"/>
          <w:szCs w:val="24"/>
        </w:rPr>
        <w:t>,</w:t>
      </w:r>
      <w:r w:rsidRPr="009C6647">
        <w:rPr>
          <w:rFonts w:ascii="Garamond" w:hAnsi="Garamond"/>
          <w:szCs w:val="24"/>
        </w:rPr>
        <w:t xml:space="preserve"> which makes it difficult for most pathogens to survive. However,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is remarkable for its ability to actively grow in either host condition. Previous studies attempting to understand the robustness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have pointed towards sphingolipids regulating the survival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within the host. </w:t>
      </w:r>
    </w:p>
    <w:p w14:paraId="7F2E1751" w14:textId="77777777" w:rsidR="009C6647" w:rsidRPr="009C6647" w:rsidRDefault="009C6647" w:rsidP="009C664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This</w:t>
      </w:r>
      <w:r w:rsidRPr="009C6647">
        <w:rPr>
          <w:rFonts w:ascii="Garamond" w:hAnsi="Garamond"/>
          <w:szCs w:val="24"/>
        </w:rPr>
        <w:t xml:space="preserve"> study focuses on deciphering the mechanism of regulation of specific sphingolipid pathways that enable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to survive in acidic and alkaline conditions inside the host. </w:t>
      </w:r>
      <w:r>
        <w:rPr>
          <w:rFonts w:ascii="Garamond" w:hAnsi="Garamond"/>
          <w:szCs w:val="24"/>
        </w:rPr>
        <w:t>Here</w:t>
      </w:r>
      <w:r w:rsidRPr="009C6647">
        <w:rPr>
          <w:rFonts w:ascii="Garamond" w:hAnsi="Garamond"/>
          <w:szCs w:val="24"/>
        </w:rPr>
        <w:t>, we shed light on a critical player in this mechanism</w:t>
      </w:r>
      <w:r w:rsidR="00C85CEF">
        <w:rPr>
          <w:rFonts w:ascii="Garamond" w:hAnsi="Garamond"/>
          <w:szCs w:val="24"/>
        </w:rPr>
        <w:t>,</w:t>
      </w:r>
      <w:r w:rsidRPr="009C6647">
        <w:rPr>
          <w:rFonts w:ascii="Garamond" w:hAnsi="Garamond"/>
          <w:szCs w:val="24"/>
        </w:rPr>
        <w:t xml:space="preserve"> and we bring forward a new dimension in the study of fungal pathogenicity. Our findings reveal three </w:t>
      </w:r>
      <w:r w:rsidR="00C85CEF">
        <w:rPr>
          <w:rFonts w:ascii="Garamond" w:hAnsi="Garamond"/>
          <w:szCs w:val="24"/>
        </w:rPr>
        <w:t>c</w:t>
      </w:r>
      <w:r w:rsidR="00C85CEF" w:rsidRPr="009C6647">
        <w:rPr>
          <w:rFonts w:ascii="Garamond" w:hAnsi="Garamond"/>
          <w:szCs w:val="24"/>
        </w:rPr>
        <w:t xml:space="preserve">eramide </w:t>
      </w:r>
      <w:r w:rsidRPr="009C6647">
        <w:rPr>
          <w:rFonts w:ascii="Garamond" w:hAnsi="Garamond"/>
          <w:szCs w:val="24"/>
        </w:rPr>
        <w:t xml:space="preserve">synthases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, Cer1, Cer2, and Cer3. Of </w:t>
      </w:r>
      <w:r>
        <w:rPr>
          <w:rFonts w:ascii="Garamond" w:hAnsi="Garamond"/>
          <w:szCs w:val="24"/>
        </w:rPr>
        <w:t>these</w:t>
      </w:r>
      <w:r w:rsidRPr="009C6647">
        <w:rPr>
          <w:rFonts w:ascii="Garamond" w:hAnsi="Garamond"/>
          <w:szCs w:val="24"/>
        </w:rPr>
        <w:t>, Cer1 was found to be required for the</w:t>
      </w:r>
      <w:r w:rsidRPr="009C6647">
        <w:rPr>
          <w:rFonts w:ascii="Garamond" w:hAnsi="Garamond" w:hint="eastAsia"/>
          <w:szCs w:val="24"/>
        </w:rPr>
        <w:t xml:space="preserve"> formation of C:18 ceramides in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eoformans.</w:t>
      </w:r>
      <w:r w:rsidRPr="009C6647">
        <w:rPr>
          <w:rFonts w:ascii="Garamond" w:hAnsi="Garamond" w:hint="eastAsia"/>
          <w:szCs w:val="24"/>
        </w:rPr>
        <w:t xml:space="preserve"> These ceramides have two major functions: first, they are important for the acidic tolerance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 w:hint="eastAsia"/>
          <w:szCs w:val="24"/>
        </w:rPr>
        <w:t xml:space="preserve"> intracellular survival through regulation of the activity of plasma membrane ATPase (Pma1) proton pump. Secondly, they a</w:t>
      </w:r>
      <w:r w:rsidRPr="009C6647">
        <w:rPr>
          <w:rFonts w:ascii="Garamond" w:hAnsi="Garamond"/>
          <w:szCs w:val="24"/>
        </w:rPr>
        <w:t xml:space="preserve">re used to generate glucosylceramides, which in turn have been known to regulate alkali tolerance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. Thus, with the findings in </w:t>
      </w:r>
      <w:r>
        <w:rPr>
          <w:rFonts w:ascii="Garamond" w:hAnsi="Garamond"/>
          <w:szCs w:val="24"/>
        </w:rPr>
        <w:t>this study,</w:t>
      </w:r>
      <w:r w:rsidRPr="009C6647">
        <w:rPr>
          <w:rFonts w:ascii="Garamond" w:hAnsi="Garamond"/>
          <w:szCs w:val="24"/>
        </w:rPr>
        <w:t xml:space="preserve"> we show that Cer1 is a key regulator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virulence along with a thorough understanding of the mechanism behind its largely important role in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pathogenicity. </w:t>
      </w:r>
    </w:p>
    <w:p w14:paraId="26418898" w14:textId="77777777" w:rsidR="009C6647" w:rsidRDefault="009C6647" w:rsidP="009C664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 summary, the discovery of</w:t>
      </w:r>
      <w:r w:rsidRPr="009C6647">
        <w:rPr>
          <w:rFonts w:ascii="Garamond" w:hAnsi="Garamond" w:hint="eastAsia"/>
          <w:szCs w:val="24"/>
        </w:rPr>
        <w:t xml:space="preserve"> this gene presents new hope for anti</w:t>
      </w:r>
      <w:r w:rsidR="00C85CEF">
        <w:rPr>
          <w:rFonts w:ascii="Garamond" w:hAnsi="Garamond" w:hint="eastAsia"/>
          <w:szCs w:val="24"/>
        </w:rPr>
        <w:t>-</w:t>
      </w:r>
      <w:r w:rsidRPr="009C6647">
        <w:rPr>
          <w:rFonts w:ascii="Garamond" w:hAnsi="Garamond" w:hint="eastAsia"/>
          <w:szCs w:val="24"/>
        </w:rPr>
        <w:t xml:space="preserve">fungal therapy for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 w:hint="eastAsia"/>
          <w:szCs w:val="24"/>
        </w:rPr>
        <w:t xml:space="preserve"> as well as other pathogenic fungi. </w:t>
      </w:r>
      <w:r w:rsidR="008D0530">
        <w:rPr>
          <w:rFonts w:ascii="Garamond" w:hAnsi="Garamond"/>
          <w:szCs w:val="24"/>
        </w:rPr>
        <w:t>T</w:t>
      </w:r>
      <w:r>
        <w:rPr>
          <w:rFonts w:ascii="Garamond" w:hAnsi="Garamond"/>
          <w:szCs w:val="24"/>
        </w:rPr>
        <w:t>his study</w:t>
      </w:r>
      <w:r w:rsidRPr="009C6647">
        <w:rPr>
          <w:rFonts w:ascii="Garamond" w:hAnsi="Garamond" w:hint="eastAsia"/>
          <w:szCs w:val="24"/>
        </w:rPr>
        <w:t xml:space="preserve"> provides (1) better understanding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 w:hint="eastAsia"/>
          <w:szCs w:val="24"/>
        </w:rPr>
        <w:t xml:space="preserve"> pathogenicity, (2) a clear role of cerami</w:t>
      </w:r>
      <w:r>
        <w:rPr>
          <w:rFonts w:ascii="Garamond" w:hAnsi="Garamond"/>
          <w:szCs w:val="24"/>
        </w:rPr>
        <w:t xml:space="preserve">des in fungal virulence, and </w:t>
      </w:r>
      <w:r w:rsidRPr="009C6647">
        <w:rPr>
          <w:rFonts w:ascii="Garamond" w:hAnsi="Garamond"/>
          <w:szCs w:val="24"/>
        </w:rPr>
        <w:t xml:space="preserve">(3) a mechanism of survival of </w:t>
      </w:r>
      <w:r w:rsidRPr="009C6647">
        <w:rPr>
          <w:rFonts w:ascii="Garamond" w:hAnsi="Garamond"/>
          <w:i/>
          <w:szCs w:val="24"/>
        </w:rPr>
        <w:t>C</w:t>
      </w:r>
      <w:r>
        <w:rPr>
          <w:rFonts w:ascii="Garamond" w:hAnsi="Garamond"/>
          <w:i/>
          <w:szCs w:val="24"/>
        </w:rPr>
        <w:t xml:space="preserve">. </w:t>
      </w:r>
      <w:r w:rsidRPr="009C6647">
        <w:rPr>
          <w:rFonts w:ascii="Garamond" w:hAnsi="Garamond"/>
          <w:i/>
          <w:szCs w:val="24"/>
        </w:rPr>
        <w:t>n</w:t>
      </w:r>
      <w:r>
        <w:rPr>
          <w:rFonts w:ascii="Garamond" w:hAnsi="Garamond"/>
          <w:i/>
          <w:szCs w:val="24"/>
        </w:rPr>
        <w:t>eoformans</w:t>
      </w:r>
      <w:r w:rsidRPr="009C6647">
        <w:rPr>
          <w:rFonts w:ascii="Garamond" w:hAnsi="Garamond"/>
          <w:szCs w:val="24"/>
        </w:rPr>
        <w:t xml:space="preserve"> within the host. </w:t>
      </w:r>
    </w:p>
    <w:p w14:paraId="3B2206F6" w14:textId="77777777" w:rsidR="009C6647" w:rsidRPr="009C6647" w:rsidRDefault="009C6647" w:rsidP="009C664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371D9BF" w14:textId="77777777" w:rsidR="009C6647" w:rsidRPr="009C6647" w:rsidRDefault="009C6647" w:rsidP="009C664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61BB27B6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226837" w:rsidRPr="002E6079">
        <w:t xml:space="preserve"> </w:t>
      </w:r>
      <w:r w:rsidR="009C6647">
        <w:t>April 12</w:t>
      </w:r>
      <w:r w:rsidR="007D4EFF" w:rsidRPr="002E6079">
        <w:t>,</w:t>
      </w:r>
      <w:r w:rsidR="009C6647">
        <w:t xml:space="preserve"> 2018</w:t>
      </w:r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="009C6647">
        <w:tab/>
        <w:t xml:space="preserve">        </w:t>
      </w:r>
      <w:r w:rsidRPr="002E6079">
        <w:rPr>
          <w:b/>
        </w:rPr>
        <w:t>Program</w:t>
      </w:r>
      <w:r w:rsidRPr="002E6079">
        <w:t xml:space="preserve">: </w:t>
      </w:r>
      <w:r w:rsidR="009C6647">
        <w:t>Genetics</w:t>
      </w:r>
    </w:p>
    <w:p w14:paraId="63EF5B37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9C6647">
        <w:t>2.00 PM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</w:t>
      </w:r>
      <w:r w:rsidR="009C6647">
        <w:t xml:space="preserve">       </w:t>
      </w:r>
      <w:r w:rsidRPr="002E6079">
        <w:rPr>
          <w:b/>
        </w:rPr>
        <w:t>Dissertation Advisor</w:t>
      </w:r>
      <w:r w:rsidRPr="002E6079">
        <w:t xml:space="preserve">: </w:t>
      </w:r>
      <w:r w:rsidR="009C6647">
        <w:t>Dr. Maurizio Del Poeta</w:t>
      </w:r>
      <w:r w:rsidRPr="002E6079">
        <w:t xml:space="preserve"> </w:t>
      </w:r>
    </w:p>
    <w:p w14:paraId="708B2E9C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9C6647">
        <w:t xml:space="preserve">Life </w:t>
      </w:r>
      <w:r w:rsidR="00C85CEF">
        <w:t xml:space="preserve">Sciences </w:t>
      </w:r>
      <w:r w:rsidR="009C6647">
        <w:t>Bldg</w:t>
      </w:r>
      <w:r w:rsidR="00D03977" w:rsidRPr="002E6079">
        <w:t>.</w:t>
      </w:r>
      <w:r w:rsidR="009C6647">
        <w:t xml:space="preserve"> Rm 038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162D37"/>
    <w:rsid w:val="00226837"/>
    <w:rsid w:val="00251FF6"/>
    <w:rsid w:val="00294E27"/>
    <w:rsid w:val="002E6079"/>
    <w:rsid w:val="004B5209"/>
    <w:rsid w:val="00644903"/>
    <w:rsid w:val="007D4EFF"/>
    <w:rsid w:val="008260BA"/>
    <w:rsid w:val="00874AB5"/>
    <w:rsid w:val="008D0530"/>
    <w:rsid w:val="009C6647"/>
    <w:rsid w:val="00C24DC6"/>
    <w:rsid w:val="00C85CEF"/>
    <w:rsid w:val="00D03977"/>
    <w:rsid w:val="00E36E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1D04C"/>
  <w14:defaultImageDpi w14:val="300"/>
  <w15:chartTrackingRefBased/>
  <w15:docId w15:val="{332E5AA7-895A-4EFF-9662-D3BC83EC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CommentReference">
    <w:name w:val="annotation reference"/>
    <w:rsid w:val="00C85C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5CEF"/>
    <w:rPr>
      <w:sz w:val="20"/>
    </w:rPr>
  </w:style>
  <w:style w:type="character" w:customStyle="1" w:styleId="CommentTextChar">
    <w:name w:val="Comment Text Char"/>
    <w:link w:val="CommentText"/>
    <w:rsid w:val="00C85CEF"/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rsid w:val="00C85CEF"/>
    <w:rPr>
      <w:b/>
      <w:bCs/>
    </w:rPr>
  </w:style>
  <w:style w:type="character" w:customStyle="1" w:styleId="CommentSubjectChar">
    <w:name w:val="Comment Subject Char"/>
    <w:link w:val="CommentSubject"/>
    <w:rsid w:val="00C85CEF"/>
    <w:rPr>
      <w:rFonts w:eastAsia="SimSun"/>
      <w:b/>
      <w:bCs/>
    </w:rPr>
  </w:style>
  <w:style w:type="paragraph" w:styleId="BalloonText">
    <w:name w:val="Balloon Text"/>
    <w:basedOn w:val="Normal"/>
    <w:link w:val="BalloonTextChar"/>
    <w:rsid w:val="00C85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5CEF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2026-04-17T17:44:00Z</dcterms:created>
  <dcterms:modified xsi:type="dcterms:W3CDTF">2026-04-17T17:44:00Z</dcterms:modified>
</cp:coreProperties>
</file>