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748F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02BA5371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411FC016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7A18E202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27A36BA7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4365A223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2D09E298" w14:textId="77777777" w:rsidR="00987C80" w:rsidRDefault="00353068" w:rsidP="00DC58BE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</w:pPr>
      <w:r>
        <w:t xml:space="preserve">Probabilistic methods for predicting local rates of transcription elongation </w:t>
      </w:r>
    </w:p>
    <w:p w14:paraId="6F46BECD" w14:textId="77777777" w:rsidR="001415CF" w:rsidRPr="002E6079" w:rsidRDefault="00353068" w:rsidP="00353068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from nascent RNA sequencing data</w:t>
      </w:r>
    </w:p>
    <w:p w14:paraId="0812B9A9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51692D2F" w14:textId="77777777" w:rsidR="008260BA" w:rsidRPr="002E6079" w:rsidRDefault="00353068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Lingjie Liu</w:t>
      </w:r>
    </w:p>
    <w:p w14:paraId="4AF74508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</w:p>
    <w:p w14:paraId="0B201F66" w14:textId="77777777" w:rsidR="008260BA" w:rsidRDefault="00353068" w:rsidP="008813DB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jc w:val="both"/>
        <w:rPr>
          <w:rFonts w:ascii="Garamond" w:hAnsi="Garamond"/>
          <w:szCs w:val="24"/>
        </w:rPr>
      </w:pPr>
      <w:r w:rsidRPr="00353068">
        <w:rPr>
          <w:szCs w:val="24"/>
        </w:rPr>
        <w:t>Across all branches of life, transcription elongation is a crucial, regulated phase in gene expression. Many recent studies in eukaryotes have focused on the regulation of promoter-proximal pausing of RNA Polymerase II (Pol II), but rates of productive elongation also vary substantially throughout the gene body, both within and across genes. Here, we introduce a probabilistic model for systematically evaluating potential determinants of the local elongation rate based on nascent RNA sequencing (NRS) data.  Our model is derived from a unified model for both the kinetics of Pol II movement along the DNA template and the generation of NRS read counts at steady state.  It allows for a continuously variable elongation rate along the gene body, with the rate at each nucleotide defined by a generalized linear relationship with nearby genomic and epigenomic features.</w:t>
      </w:r>
      <w:r w:rsidR="00DF1517">
        <w:rPr>
          <w:szCs w:val="24"/>
        </w:rPr>
        <w:t xml:space="preserve"> </w:t>
      </w:r>
      <w:r w:rsidRPr="00353068">
        <w:rPr>
          <w:szCs w:val="24"/>
        </w:rPr>
        <w:t xml:space="preserve">We validate this model with simulations and apply it to public PRO-seq and epigenomic data for four cell types, finding that reductions in local elongation rate are associated with cytosine nucleotides, DNA methylation, splice sites, RNA stem-loops, CTCF binding sites, and several histone marks, including H3K36me3 and H4K20me1.  By contrast, increases in local elongation rate are associated with </w:t>
      </w:r>
      <w:proofErr w:type="spellStart"/>
      <w:r w:rsidRPr="00353068">
        <w:rPr>
          <w:szCs w:val="24"/>
        </w:rPr>
        <w:t>thymines</w:t>
      </w:r>
      <w:proofErr w:type="spellEnd"/>
      <w:r w:rsidRPr="00353068">
        <w:rPr>
          <w:szCs w:val="24"/>
        </w:rPr>
        <w:t>, A+T-rich and low-complexity sequences, and H3K79me2 marks. We then introduce a convolutional neural network that improves our local rate predictions.</w:t>
      </w:r>
      <w:r w:rsidR="00BA77CC">
        <w:rPr>
          <w:szCs w:val="24"/>
        </w:rPr>
        <w:t xml:space="preserve"> </w:t>
      </w:r>
      <w:r w:rsidRPr="00353068">
        <w:rPr>
          <w:szCs w:val="24"/>
        </w:rPr>
        <w:t xml:space="preserve">Overall, our analysis is the first to permit genome-wide predictions of relative nucleotide-specific elongation rates based on complex sets of genomic and epigenomic covariates. We have made predictions available for the K562, CD14+, MCF-7, and HeLa-S3 cell types in a UCSC Genome Browser track.  </w:t>
      </w:r>
    </w:p>
    <w:p w14:paraId="6A613736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E90046F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6606ECCA" w14:textId="77777777" w:rsidR="007D4EFF" w:rsidRDefault="007D4EFF" w:rsidP="00353068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rFonts w:ascii="Garamond" w:hAnsi="Garamond"/>
          <w:szCs w:val="24"/>
        </w:rPr>
      </w:pPr>
    </w:p>
    <w:p w14:paraId="32B6F2C0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2F8B82C6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353068">
        <w:rPr>
          <w:lang w:eastAsia="zh-CN"/>
        </w:rPr>
        <w:t>May</w:t>
      </w:r>
      <w:proofErr w:type="gramEnd"/>
      <w:r w:rsidR="00353068">
        <w:rPr>
          <w:lang w:eastAsia="zh-CN"/>
        </w:rPr>
        <w:t xml:space="preserve"> 2,</w:t>
      </w:r>
      <w:r w:rsidR="00F65431">
        <w:rPr>
          <w:rFonts w:hint="eastAsia"/>
          <w:lang w:eastAsia="zh-CN"/>
        </w:rPr>
        <w:t xml:space="preserve"> </w:t>
      </w:r>
      <w:proofErr w:type="gramStart"/>
      <w:r w:rsidR="00353068">
        <w:t>2024</w:t>
      </w:r>
      <w:proofErr w:type="gramEnd"/>
      <w:r w:rsidR="00353068">
        <w:t xml:space="preserve">              </w:t>
      </w:r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353068">
        <w:t>Genetics</w:t>
      </w:r>
      <w:r w:rsidRPr="002E6079">
        <w:t xml:space="preserve"> </w:t>
      </w:r>
    </w:p>
    <w:p w14:paraId="1624A34D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353068">
        <w:t>1:00 pm</w:t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353068">
        <w:t>Adam Siepel</w:t>
      </w:r>
      <w:r w:rsidRPr="002E6079">
        <w:t xml:space="preserve"> </w:t>
      </w:r>
    </w:p>
    <w:p w14:paraId="16996B63" w14:textId="77777777" w:rsidR="00C9070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353068">
        <w:t>C</w:t>
      </w:r>
      <w:r w:rsidR="00DC58BE">
        <w:t>old Spring Harbor Laboratory</w:t>
      </w:r>
      <w:r w:rsidR="00353068">
        <w:t xml:space="preserve">, </w:t>
      </w:r>
      <w:r w:rsidR="00BA77CC">
        <w:t>Beckman Building, Plimpton Room</w:t>
      </w:r>
    </w:p>
    <w:p w14:paraId="16B9611A" w14:textId="77777777" w:rsidR="00DC58BE" w:rsidRPr="002E6079" w:rsidRDefault="00DC58BE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7F14E2">
        <w:rPr>
          <w:color w:val="000000"/>
          <w:szCs w:val="24"/>
          <w:shd w:val="clear" w:color="auto" w:fill="FFFFFF"/>
        </w:rPr>
        <w:t> </w:t>
      </w:r>
      <w:r w:rsidRPr="007F14E2">
        <w:rPr>
          <w:i/>
          <w:iCs/>
          <w:color w:val="000000"/>
          <w:szCs w:val="24"/>
        </w:rPr>
        <w:t>To attend virtually, contact the Program Director at</w:t>
      </w:r>
      <w:r w:rsidRPr="007243E5">
        <w:rPr>
          <w:rStyle w:val="apple-converted-space"/>
          <w:i/>
          <w:iCs/>
          <w:color w:val="000000"/>
          <w:szCs w:val="24"/>
        </w:rPr>
        <w:t> </w:t>
      </w:r>
      <w:hyperlink r:id="rId4" w:tooltip="mailto:martha.furie@stonybrook.edu" w:history="1">
        <w:r w:rsidRPr="009559E1">
          <w:rPr>
            <w:rStyle w:val="Hyperlink"/>
            <w:color w:val="auto"/>
            <w:szCs w:val="24"/>
            <w:u w:val="none"/>
          </w:rPr>
          <w:t>martha.</w:t>
        </w:r>
        <w:r w:rsidRPr="009559E1">
          <w:rPr>
            <w:rStyle w:val="Hyperlink"/>
            <w:color w:val="auto"/>
            <w:szCs w:val="24"/>
            <w:u w:val="none"/>
          </w:rPr>
          <w:t>f</w:t>
        </w:r>
        <w:r w:rsidRPr="009559E1">
          <w:rPr>
            <w:rStyle w:val="Hyperlink"/>
            <w:color w:val="auto"/>
            <w:szCs w:val="24"/>
            <w:u w:val="none"/>
          </w:rPr>
          <w:t>urie@stonybrook.edu</w:t>
        </w:r>
      </w:hyperlink>
    </w:p>
    <w:sectPr w:rsidR="00DC58BE" w:rsidRPr="002E6079" w:rsidSect="0089050A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226837"/>
    <w:rsid w:val="00294E27"/>
    <w:rsid w:val="002E6079"/>
    <w:rsid w:val="00353068"/>
    <w:rsid w:val="004B5209"/>
    <w:rsid w:val="00644903"/>
    <w:rsid w:val="007D4EFF"/>
    <w:rsid w:val="008260BA"/>
    <w:rsid w:val="00831898"/>
    <w:rsid w:val="00874AB5"/>
    <w:rsid w:val="008813DB"/>
    <w:rsid w:val="0089050A"/>
    <w:rsid w:val="00987C80"/>
    <w:rsid w:val="00A819D7"/>
    <w:rsid w:val="00B26849"/>
    <w:rsid w:val="00BA77CC"/>
    <w:rsid w:val="00C24DC6"/>
    <w:rsid w:val="00C90703"/>
    <w:rsid w:val="00CC1BCE"/>
    <w:rsid w:val="00D03977"/>
    <w:rsid w:val="00DC58BE"/>
    <w:rsid w:val="00DF1517"/>
    <w:rsid w:val="00E36E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597F1"/>
  <w15:chartTrackingRefBased/>
  <w15:docId w15:val="{AF494B22-A5CC-4DDC-8198-819DDFDA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C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ha.furie@stonybrook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2313</CharactersWithSpaces>
  <SharedDoc>false</SharedDoc>
  <HLinks>
    <vt:vector size="6" baseType="variant">
      <vt:variant>
        <vt:i4>721021</vt:i4>
      </vt:variant>
      <vt:variant>
        <vt:i4>0</vt:i4>
      </vt:variant>
      <vt:variant>
        <vt:i4>0</vt:i4>
      </vt:variant>
      <vt:variant>
        <vt:i4>5</vt:i4>
      </vt:variant>
      <vt:variant>
        <vt:lpwstr>mailto:martha.furie@stonybrook.edu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2026-04-17T18:19:00Z</dcterms:created>
  <dcterms:modified xsi:type="dcterms:W3CDTF">2026-04-17T18:19:00Z</dcterms:modified>
</cp:coreProperties>
</file>