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B926B" w14:textId="77777777" w:rsidR="008260BA" w:rsidRDefault="008260BA">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b/>
          <w:sz w:val="32"/>
          <w:szCs w:val="32"/>
        </w:rPr>
      </w:pPr>
    </w:p>
    <w:p w14:paraId="4DFD073C" w14:textId="77777777" w:rsidR="008260BA" w:rsidRDefault="008260BA" w:rsidP="001415CF">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b/>
          <w:sz w:val="32"/>
          <w:szCs w:val="32"/>
        </w:rPr>
      </w:pPr>
      <w:r>
        <w:rPr>
          <w:b/>
          <w:sz w:val="32"/>
          <w:szCs w:val="32"/>
        </w:rPr>
        <w:t>Stony Brook University</w:t>
      </w:r>
    </w:p>
    <w:p w14:paraId="7F0B6601" w14:textId="77777777" w:rsidR="008260BA" w:rsidRDefault="008260BA" w:rsidP="001415CF">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b/>
          <w:sz w:val="32"/>
          <w:szCs w:val="32"/>
        </w:rPr>
      </w:pPr>
      <w:proofErr w:type="gramStart"/>
      <w:r>
        <w:rPr>
          <w:b/>
          <w:sz w:val="32"/>
          <w:szCs w:val="32"/>
        </w:rPr>
        <w:t xml:space="preserve">The </w:t>
      </w:r>
      <w:smartTag w:uri="urn:schemas-microsoft-com:office:smarttags" w:element="place">
        <w:smartTag w:uri="urn:schemas-microsoft-com:office:smarttags" w:element="PlaceName">
          <w:r>
            <w:rPr>
              <w:b/>
              <w:sz w:val="32"/>
              <w:szCs w:val="32"/>
            </w:rPr>
            <w:t>Graduate</w:t>
          </w:r>
        </w:smartTag>
        <w:proofErr w:type="gramEnd"/>
        <w:r>
          <w:rPr>
            <w:b/>
            <w:sz w:val="32"/>
            <w:szCs w:val="32"/>
          </w:rPr>
          <w:t xml:space="preserve"> </w:t>
        </w:r>
        <w:smartTag w:uri="urn:schemas-microsoft-com:office:smarttags" w:element="PlaceType">
          <w:r>
            <w:rPr>
              <w:b/>
              <w:sz w:val="32"/>
              <w:szCs w:val="32"/>
            </w:rPr>
            <w:t>School</w:t>
          </w:r>
        </w:smartTag>
      </w:smartTag>
    </w:p>
    <w:p w14:paraId="73553310" w14:textId="77777777" w:rsidR="008260BA" w:rsidRDefault="008260BA" w:rsidP="001415CF">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rFonts w:ascii="Garamond" w:hAnsi="Garamond"/>
          <w:sz w:val="28"/>
          <w:szCs w:val="28"/>
        </w:rPr>
      </w:pPr>
    </w:p>
    <w:p w14:paraId="2694F303" w14:textId="77777777" w:rsidR="001415CF" w:rsidRPr="002E6079" w:rsidRDefault="00644903" w:rsidP="001415CF">
      <w:pPr>
        <w:pStyle w:val="BodyText"/>
        <w:pBdr>
          <w:top w:val="single" w:sz="2" w:space="0" w:color="auto" w:shadow="1"/>
          <w:left w:val="single" w:sz="2" w:space="4" w:color="auto" w:shadow="1"/>
          <w:bottom w:val="single" w:sz="2" w:space="0" w:color="auto" w:shadow="1"/>
          <w:right w:val="single" w:sz="2" w:space="4" w:color="auto" w:shadow="1"/>
        </w:pBdr>
        <w:spacing w:line="360" w:lineRule="auto"/>
        <w:ind w:firstLine="360"/>
        <w:jc w:val="center"/>
        <w:rPr>
          <w:sz w:val="28"/>
          <w:szCs w:val="28"/>
        </w:rPr>
      </w:pPr>
      <w:r w:rsidRPr="002E6079">
        <w:rPr>
          <w:sz w:val="28"/>
          <w:szCs w:val="28"/>
        </w:rPr>
        <w:t>Doctoral Defense</w:t>
      </w:r>
      <w:r w:rsidR="008260BA" w:rsidRPr="002E6079">
        <w:rPr>
          <w:sz w:val="28"/>
          <w:szCs w:val="28"/>
        </w:rPr>
        <w:t xml:space="preserve"> Announcement</w:t>
      </w:r>
    </w:p>
    <w:p w14:paraId="3B3B79DB" w14:textId="77777777" w:rsidR="008260BA" w:rsidRPr="002E6079" w:rsidRDefault="008260BA" w:rsidP="00FE7B34">
      <w:pPr>
        <w:pStyle w:val="BodyText"/>
        <w:pBdr>
          <w:top w:val="single" w:sz="2" w:space="0" w:color="auto" w:shadow="1"/>
          <w:left w:val="single" w:sz="2" w:space="4" w:color="auto" w:shadow="1"/>
          <w:bottom w:val="single" w:sz="2" w:space="0" w:color="auto" w:shadow="1"/>
          <w:right w:val="single" w:sz="2" w:space="4" w:color="auto" w:shadow="1"/>
        </w:pBdr>
        <w:spacing w:line="360" w:lineRule="auto"/>
        <w:jc w:val="center"/>
        <w:rPr>
          <w:sz w:val="28"/>
          <w:szCs w:val="28"/>
        </w:rPr>
      </w:pPr>
      <w:r w:rsidRPr="002E6079">
        <w:rPr>
          <w:b/>
          <w:sz w:val="28"/>
          <w:szCs w:val="28"/>
        </w:rPr>
        <w:t>Abstract</w:t>
      </w:r>
    </w:p>
    <w:p w14:paraId="73BE9023" w14:textId="77777777" w:rsidR="001415CF" w:rsidRPr="002E6079" w:rsidRDefault="00B30D80" w:rsidP="00FE7B34">
      <w:pPr>
        <w:pBdr>
          <w:top w:val="single" w:sz="2" w:space="0" w:color="auto" w:shadow="1"/>
          <w:left w:val="single" w:sz="2" w:space="4" w:color="auto" w:shadow="1"/>
          <w:bottom w:val="single" w:sz="2" w:space="0" w:color="auto" w:shadow="1"/>
          <w:right w:val="single" w:sz="2" w:space="4" w:color="auto" w:shadow="1"/>
        </w:pBdr>
        <w:spacing w:line="360" w:lineRule="auto"/>
        <w:jc w:val="center"/>
      </w:pPr>
      <w:r>
        <w:t>Glutamine synthetase in</w:t>
      </w:r>
      <w:r w:rsidR="002F354C">
        <w:t xml:space="preserve"> cancer cell metabolism and</w:t>
      </w:r>
      <w:r>
        <w:t xml:space="preserve"> oncogenesis</w:t>
      </w:r>
    </w:p>
    <w:p w14:paraId="70AC76CA" w14:textId="77777777" w:rsidR="001415CF" w:rsidRPr="002E6079" w:rsidRDefault="008260BA" w:rsidP="001415CF">
      <w:pPr>
        <w:pBdr>
          <w:top w:val="single" w:sz="2" w:space="0" w:color="auto" w:shadow="1"/>
          <w:left w:val="single" w:sz="2" w:space="4" w:color="auto" w:shadow="1"/>
          <w:bottom w:val="single" w:sz="2" w:space="0" w:color="auto" w:shadow="1"/>
          <w:right w:val="single" w:sz="2" w:space="4" w:color="auto" w:shadow="1"/>
        </w:pBdr>
        <w:spacing w:line="360" w:lineRule="auto"/>
        <w:jc w:val="center"/>
      </w:pPr>
      <w:proofErr w:type="gramStart"/>
      <w:r w:rsidRPr="002E6079">
        <w:t>By</w:t>
      </w:r>
      <w:proofErr w:type="gramEnd"/>
    </w:p>
    <w:p w14:paraId="235608C3" w14:textId="77777777" w:rsidR="00B30D80" w:rsidRPr="00B30D80" w:rsidRDefault="0076333F" w:rsidP="00B30D80">
      <w:pPr>
        <w:pBdr>
          <w:top w:val="single" w:sz="2" w:space="0" w:color="auto" w:shadow="1"/>
          <w:left w:val="single" w:sz="2" w:space="4" w:color="auto" w:shadow="1"/>
          <w:bottom w:val="single" w:sz="2" w:space="0" w:color="auto" w:shadow="1"/>
          <w:right w:val="single" w:sz="2" w:space="4" w:color="auto" w:shadow="1"/>
        </w:pBdr>
        <w:spacing w:line="360" w:lineRule="auto"/>
        <w:jc w:val="center"/>
        <w:rPr>
          <w:b/>
          <w:sz w:val="28"/>
          <w:szCs w:val="28"/>
        </w:rPr>
      </w:pPr>
      <w:r>
        <w:rPr>
          <w:b/>
        </w:rPr>
        <w:t>Alex J. Bott</w:t>
      </w:r>
    </w:p>
    <w:p w14:paraId="369AF18A" w14:textId="77777777" w:rsidR="007D4EFF" w:rsidRDefault="009A77BF" w:rsidP="00867C11">
      <w:pPr>
        <w:pBdr>
          <w:top w:val="single" w:sz="2" w:space="0" w:color="auto" w:shadow="1"/>
          <w:left w:val="single" w:sz="2" w:space="4" w:color="auto" w:shadow="1"/>
          <w:bottom w:val="single" w:sz="2" w:space="0" w:color="auto" w:shadow="1"/>
          <w:right w:val="single" w:sz="2" w:space="4" w:color="auto" w:shadow="1"/>
        </w:pBdr>
        <w:ind w:firstLine="720"/>
        <w:jc w:val="both"/>
        <w:rPr>
          <w:szCs w:val="24"/>
        </w:rPr>
      </w:pPr>
      <w:r>
        <w:rPr>
          <w:szCs w:val="24"/>
        </w:rPr>
        <w:t xml:space="preserve">Altered glutamine metabolism is a hallmark of cancer. It is widely appreciated that glutamine is catabolized to produce alpha-ketoglutarate as a substrate for the </w:t>
      </w:r>
      <w:r w:rsidR="002D5BE2">
        <w:rPr>
          <w:szCs w:val="24"/>
        </w:rPr>
        <w:t>tricarboxylic acid (TCA) cycle</w:t>
      </w:r>
      <w:r>
        <w:rPr>
          <w:szCs w:val="24"/>
        </w:rPr>
        <w:t>.</w:t>
      </w:r>
      <w:r w:rsidR="0045116F">
        <w:rPr>
          <w:szCs w:val="24"/>
        </w:rPr>
        <w:t xml:space="preserve"> </w:t>
      </w:r>
      <w:r w:rsidR="00867C11">
        <w:rPr>
          <w:szCs w:val="24"/>
        </w:rPr>
        <w:t xml:space="preserve">This is often due to upregulation of glutaminase (GLS) by </w:t>
      </w:r>
      <w:proofErr w:type="gramStart"/>
      <w:r w:rsidR="00867C11">
        <w:rPr>
          <w:szCs w:val="24"/>
        </w:rPr>
        <w:t>a number of</w:t>
      </w:r>
      <w:proofErr w:type="gramEnd"/>
      <w:r w:rsidR="00867C11">
        <w:rPr>
          <w:szCs w:val="24"/>
        </w:rPr>
        <w:t xml:space="preserve"> oncogenes.</w:t>
      </w:r>
      <w:r>
        <w:rPr>
          <w:szCs w:val="24"/>
        </w:rPr>
        <w:t xml:space="preserve"> </w:t>
      </w:r>
      <w:r w:rsidR="00C36E93">
        <w:rPr>
          <w:szCs w:val="24"/>
        </w:rPr>
        <w:t>Our</w:t>
      </w:r>
      <w:r w:rsidR="00B30D80">
        <w:rPr>
          <w:szCs w:val="24"/>
        </w:rPr>
        <w:t xml:space="preserve"> initial observation suggested that the proto-oncogene Myc </w:t>
      </w:r>
      <w:proofErr w:type="gramStart"/>
      <w:r w:rsidR="00B30D80">
        <w:rPr>
          <w:szCs w:val="24"/>
        </w:rPr>
        <w:t>was capable of regulating</w:t>
      </w:r>
      <w:proofErr w:type="gramEnd"/>
      <w:r w:rsidR="00B30D80">
        <w:rPr>
          <w:szCs w:val="24"/>
        </w:rPr>
        <w:t xml:space="preserve"> </w:t>
      </w:r>
      <w:r w:rsidR="00867C11">
        <w:rPr>
          <w:szCs w:val="24"/>
        </w:rPr>
        <w:t>glutamine synthetase (GS)</w:t>
      </w:r>
      <w:r w:rsidR="00B30D80">
        <w:rPr>
          <w:szCs w:val="24"/>
        </w:rPr>
        <w:t xml:space="preserve"> expression.</w:t>
      </w:r>
      <w:r w:rsidR="00867C11">
        <w:rPr>
          <w:szCs w:val="24"/>
        </w:rPr>
        <w:t xml:space="preserve"> GS is the sole enzyme responsible for </w:t>
      </w:r>
      <w:r w:rsidR="00867C11">
        <w:rPr>
          <w:i/>
          <w:szCs w:val="24"/>
        </w:rPr>
        <w:t>de novo</w:t>
      </w:r>
      <w:r w:rsidR="00867C11">
        <w:rPr>
          <w:szCs w:val="24"/>
        </w:rPr>
        <w:t xml:space="preserve"> glutamine synthesis.</w:t>
      </w:r>
      <w:r w:rsidR="00867C11" w:rsidRPr="00B30D80">
        <w:rPr>
          <w:szCs w:val="24"/>
        </w:rPr>
        <w:t xml:space="preserve"> </w:t>
      </w:r>
      <w:r w:rsidR="00021C67">
        <w:rPr>
          <w:szCs w:val="24"/>
        </w:rPr>
        <w:t xml:space="preserve"> </w:t>
      </w:r>
      <w:r w:rsidR="00B30D80">
        <w:rPr>
          <w:szCs w:val="24"/>
        </w:rPr>
        <w:t xml:space="preserve">Overexpression of Myc in the immortalized, but not transformed, mammary epithelial cells MCF10A </w:t>
      </w:r>
      <w:r w:rsidR="002D5BE2">
        <w:rPr>
          <w:szCs w:val="24"/>
        </w:rPr>
        <w:t xml:space="preserve">led </w:t>
      </w:r>
      <w:r w:rsidR="00B30D80">
        <w:rPr>
          <w:szCs w:val="24"/>
        </w:rPr>
        <w:t xml:space="preserve">to an upregulation of GS. Subsequently, silencing of Myc in cancer cell lines </w:t>
      </w:r>
      <w:r w:rsidR="002D5BE2">
        <w:rPr>
          <w:szCs w:val="24"/>
        </w:rPr>
        <w:t xml:space="preserve">led </w:t>
      </w:r>
      <w:r w:rsidR="00B30D80">
        <w:rPr>
          <w:szCs w:val="24"/>
        </w:rPr>
        <w:t xml:space="preserve">to </w:t>
      </w:r>
      <w:r w:rsidR="002D5BE2">
        <w:rPr>
          <w:szCs w:val="24"/>
        </w:rPr>
        <w:t xml:space="preserve">a </w:t>
      </w:r>
      <w:r w:rsidR="00B30D80">
        <w:rPr>
          <w:szCs w:val="24"/>
        </w:rPr>
        <w:t xml:space="preserve">decrease </w:t>
      </w:r>
      <w:proofErr w:type="gramStart"/>
      <w:r w:rsidR="00B30D80">
        <w:rPr>
          <w:szCs w:val="24"/>
        </w:rPr>
        <w:t>of</w:t>
      </w:r>
      <w:proofErr w:type="gramEnd"/>
      <w:r w:rsidR="00B30D80">
        <w:rPr>
          <w:szCs w:val="24"/>
        </w:rPr>
        <w:t xml:space="preserve"> GS. This regulation of GS by Myc is controlled by an indirect </w:t>
      </w:r>
      <w:r w:rsidR="00867C11">
        <w:rPr>
          <w:szCs w:val="24"/>
        </w:rPr>
        <w:t>epigenetic mechanism</w:t>
      </w:r>
      <w:r w:rsidR="00B30D80">
        <w:rPr>
          <w:szCs w:val="24"/>
        </w:rPr>
        <w:t xml:space="preserve">. The biological consequence for Myc induced upregulation of GS </w:t>
      </w:r>
      <w:r w:rsidR="002D5BE2">
        <w:rPr>
          <w:szCs w:val="24"/>
        </w:rPr>
        <w:t xml:space="preserve">entailed </w:t>
      </w:r>
      <w:r w:rsidR="00B30D80">
        <w:rPr>
          <w:szCs w:val="24"/>
        </w:rPr>
        <w:t>increased glutamine synthesis</w:t>
      </w:r>
      <w:r w:rsidR="002D5BE2">
        <w:rPr>
          <w:szCs w:val="24"/>
        </w:rPr>
        <w:t>,</w:t>
      </w:r>
      <w:r w:rsidR="00867C11">
        <w:rPr>
          <w:szCs w:val="24"/>
        </w:rPr>
        <w:t xml:space="preserve"> and </w:t>
      </w:r>
      <w:r w:rsidR="00B30D80">
        <w:rPr>
          <w:szCs w:val="24"/>
        </w:rPr>
        <w:t xml:space="preserve">GS expression </w:t>
      </w:r>
      <w:r w:rsidR="002D5BE2">
        <w:rPr>
          <w:szCs w:val="24"/>
        </w:rPr>
        <w:t xml:space="preserve">played </w:t>
      </w:r>
      <w:r w:rsidR="00B30D80">
        <w:rPr>
          <w:szCs w:val="24"/>
        </w:rPr>
        <w:t>a cytoprotective role in response to glutamine limitation. Silencing of GS in Myc amplified mammary epithelial cells or</w:t>
      </w:r>
      <w:r w:rsidR="005A1972">
        <w:rPr>
          <w:szCs w:val="24"/>
        </w:rPr>
        <w:t xml:space="preserve"> </w:t>
      </w:r>
      <w:r w:rsidR="00B30D80">
        <w:rPr>
          <w:szCs w:val="24"/>
        </w:rPr>
        <w:t>cancer cell lines decrease</w:t>
      </w:r>
      <w:r w:rsidR="002D5BE2">
        <w:rPr>
          <w:szCs w:val="24"/>
        </w:rPr>
        <w:t>d</w:t>
      </w:r>
      <w:r w:rsidR="00B30D80">
        <w:rPr>
          <w:szCs w:val="24"/>
        </w:rPr>
        <w:t xml:space="preserve"> the growth capacity </w:t>
      </w:r>
      <w:r w:rsidR="00B30D80">
        <w:rPr>
          <w:i/>
          <w:szCs w:val="24"/>
        </w:rPr>
        <w:t xml:space="preserve">in vitro </w:t>
      </w:r>
      <w:r w:rsidR="00B30D80">
        <w:rPr>
          <w:szCs w:val="24"/>
        </w:rPr>
        <w:t>and in xenograft studies.</w:t>
      </w:r>
      <w:r w:rsidR="00867C11">
        <w:rPr>
          <w:szCs w:val="24"/>
        </w:rPr>
        <w:t xml:space="preserve"> </w:t>
      </w:r>
      <w:r w:rsidR="00B30D80">
        <w:rPr>
          <w:szCs w:val="24"/>
        </w:rPr>
        <w:t>Genetic deletion of GS in pancreatic cancer further reveal</w:t>
      </w:r>
      <w:r w:rsidR="002D5BE2">
        <w:rPr>
          <w:szCs w:val="24"/>
        </w:rPr>
        <w:t>ed</w:t>
      </w:r>
      <w:r w:rsidR="00B30D80">
        <w:rPr>
          <w:szCs w:val="24"/>
        </w:rPr>
        <w:t xml:space="preserve"> the importance of glutamine synthesis in tumorigenesis.</w:t>
      </w:r>
      <w:r w:rsidR="00B30D80" w:rsidRPr="00B30D80">
        <w:rPr>
          <w:szCs w:val="24"/>
        </w:rPr>
        <w:t xml:space="preserve"> </w:t>
      </w:r>
      <w:r w:rsidR="00B30D80">
        <w:rPr>
          <w:szCs w:val="24"/>
        </w:rPr>
        <w:t>Previous studies have highlighted non-canonical glutamine metabolism in pancreatic ductal adenocarcinoma (PDAC). Deletion of GS hampered the capacity of PDAC cells to adapt to glutamine deprivation and utilize components of the glutamine synthetic pathway, namely</w:t>
      </w:r>
      <w:r>
        <w:rPr>
          <w:szCs w:val="24"/>
        </w:rPr>
        <w:t xml:space="preserve"> aKG</w:t>
      </w:r>
      <w:r w:rsidR="00B30D80">
        <w:rPr>
          <w:szCs w:val="24"/>
        </w:rPr>
        <w:t xml:space="preserve">. Stable isotope tracing revealed that aKG </w:t>
      </w:r>
      <w:r w:rsidR="002D5BE2">
        <w:rPr>
          <w:szCs w:val="24"/>
        </w:rPr>
        <w:t xml:space="preserve">was </w:t>
      </w:r>
      <w:r w:rsidR="00B30D80">
        <w:rPr>
          <w:szCs w:val="24"/>
        </w:rPr>
        <w:t xml:space="preserve">used </w:t>
      </w:r>
      <w:r w:rsidR="00A55CDC">
        <w:rPr>
          <w:szCs w:val="24"/>
        </w:rPr>
        <w:t>to synthesize glutamine</w:t>
      </w:r>
      <w:r w:rsidR="00B30D80">
        <w:rPr>
          <w:szCs w:val="24"/>
        </w:rPr>
        <w:t xml:space="preserve"> </w:t>
      </w:r>
      <w:r w:rsidR="00A55CDC">
        <w:rPr>
          <w:szCs w:val="24"/>
        </w:rPr>
        <w:t>and contribute carbons to the</w:t>
      </w:r>
      <w:r w:rsidR="00B30D80">
        <w:rPr>
          <w:szCs w:val="24"/>
        </w:rPr>
        <w:t xml:space="preserve"> TCA cycle</w:t>
      </w:r>
      <w:r w:rsidR="00A55CDC">
        <w:rPr>
          <w:szCs w:val="24"/>
        </w:rPr>
        <w:t>.</w:t>
      </w:r>
      <w:r w:rsidR="00B30D80">
        <w:rPr>
          <w:szCs w:val="24"/>
        </w:rPr>
        <w:t xml:space="preserve"> </w:t>
      </w:r>
      <w:r w:rsidR="00A55CDC">
        <w:rPr>
          <w:szCs w:val="24"/>
        </w:rPr>
        <w:t>N</w:t>
      </w:r>
      <w:r w:rsidR="00B30D80">
        <w:rPr>
          <w:szCs w:val="24"/>
        </w:rPr>
        <w:t xml:space="preserve">ewly synthesized glutamine </w:t>
      </w:r>
      <w:r w:rsidR="002D5BE2">
        <w:rPr>
          <w:szCs w:val="24"/>
        </w:rPr>
        <w:t>was</w:t>
      </w:r>
      <w:r w:rsidR="00DE49FA">
        <w:rPr>
          <w:szCs w:val="24"/>
        </w:rPr>
        <w:t xml:space="preserve"> used to produce</w:t>
      </w:r>
      <w:r w:rsidR="00B30D80">
        <w:rPr>
          <w:szCs w:val="24"/>
        </w:rPr>
        <w:t xml:space="preserve"> hexosamine sugars and nucleotide</w:t>
      </w:r>
      <w:r w:rsidR="00DE49FA">
        <w:rPr>
          <w:szCs w:val="24"/>
        </w:rPr>
        <w:t>s</w:t>
      </w:r>
      <w:r w:rsidR="00B30D80">
        <w:rPr>
          <w:szCs w:val="24"/>
        </w:rPr>
        <w:t>. As such, deprivation of glutamine led to induction of DNA damage</w:t>
      </w:r>
      <w:r w:rsidR="002D5BE2">
        <w:rPr>
          <w:szCs w:val="24"/>
        </w:rPr>
        <w:t>,</w:t>
      </w:r>
      <w:r w:rsidR="00B30D80">
        <w:rPr>
          <w:szCs w:val="24"/>
        </w:rPr>
        <w:t xml:space="preserve"> which could be partly prevented in GS proficient cells by supplying the precursors responsible for glutamine synthesis. </w:t>
      </w:r>
      <w:proofErr w:type="gramStart"/>
      <w:r w:rsidR="00B30D80">
        <w:rPr>
          <w:szCs w:val="24"/>
        </w:rPr>
        <w:t>In order to</w:t>
      </w:r>
      <w:proofErr w:type="gramEnd"/>
      <w:r w:rsidR="00B30D80">
        <w:rPr>
          <w:szCs w:val="24"/>
        </w:rPr>
        <w:t xml:space="preserve"> determine the contribution of GS for tumorigenic capacity, PDAC cells were implanted orthotopically into immunocompetent mice.</w:t>
      </w:r>
      <w:r w:rsidR="00B30D80" w:rsidRPr="00B30D80">
        <w:rPr>
          <w:szCs w:val="24"/>
        </w:rPr>
        <w:t xml:space="preserve"> </w:t>
      </w:r>
      <w:r w:rsidR="007D251C">
        <w:rPr>
          <w:szCs w:val="24"/>
        </w:rPr>
        <w:t xml:space="preserve">Animals harboring </w:t>
      </w:r>
      <w:r w:rsidR="00B30D80">
        <w:rPr>
          <w:szCs w:val="24"/>
        </w:rPr>
        <w:t xml:space="preserve">GS KO cells had a significant increase in survival. It is tempting to speculate </w:t>
      </w:r>
      <w:r w:rsidR="002D5BE2">
        <w:rPr>
          <w:szCs w:val="24"/>
        </w:rPr>
        <w:t xml:space="preserve">that </w:t>
      </w:r>
      <w:r w:rsidR="00B30D80">
        <w:rPr>
          <w:szCs w:val="24"/>
        </w:rPr>
        <w:t xml:space="preserve">this effect is due to depletion of glutamine in the local tissue and the </w:t>
      </w:r>
      <w:r w:rsidR="003746B7">
        <w:rPr>
          <w:szCs w:val="24"/>
        </w:rPr>
        <w:t>generation</w:t>
      </w:r>
      <w:r w:rsidR="00B30D80">
        <w:rPr>
          <w:szCs w:val="24"/>
        </w:rPr>
        <w:t xml:space="preserve"> of an inhospitable environment for cells unable to synthesize glutamine autonomously. </w:t>
      </w:r>
      <w:r w:rsidR="00867C11">
        <w:rPr>
          <w:szCs w:val="24"/>
        </w:rPr>
        <w:t>These data suggest that GS may be a viable therapeutic target</w:t>
      </w:r>
      <w:r w:rsidR="002D5BE2">
        <w:rPr>
          <w:szCs w:val="24"/>
        </w:rPr>
        <w:t xml:space="preserve"> for cancer</w:t>
      </w:r>
      <w:r w:rsidR="00867C11">
        <w:rPr>
          <w:szCs w:val="24"/>
        </w:rPr>
        <w:t>.</w:t>
      </w:r>
    </w:p>
    <w:p w14:paraId="713106A8" w14:textId="77777777" w:rsidR="00B30D80" w:rsidRPr="00B30D80" w:rsidRDefault="00B30D80" w:rsidP="00B30D80">
      <w:pPr>
        <w:pBdr>
          <w:top w:val="single" w:sz="2" w:space="0" w:color="auto" w:shadow="1"/>
          <w:left w:val="single" w:sz="2" w:space="4" w:color="auto" w:shadow="1"/>
          <w:bottom w:val="single" w:sz="2" w:space="0" w:color="auto" w:shadow="1"/>
          <w:right w:val="single" w:sz="2" w:space="4" w:color="auto" w:shadow="1"/>
        </w:pBdr>
        <w:jc w:val="both"/>
        <w:rPr>
          <w:rFonts w:ascii="Garamond" w:hAnsi="Garamond"/>
          <w:szCs w:val="24"/>
        </w:rPr>
      </w:pPr>
    </w:p>
    <w:p w14:paraId="00D95ED6" w14:textId="77777777" w:rsidR="008260BA" w:rsidRPr="002E6079" w:rsidRDefault="008260BA">
      <w:pPr>
        <w:pBdr>
          <w:top w:val="single" w:sz="2" w:space="0" w:color="auto" w:shadow="1"/>
          <w:left w:val="single" w:sz="2" w:space="4" w:color="auto" w:shadow="1"/>
          <w:bottom w:val="single" w:sz="2" w:space="0" w:color="auto" w:shadow="1"/>
          <w:right w:val="single" w:sz="2" w:space="4" w:color="auto" w:shadow="1"/>
        </w:pBdr>
      </w:pPr>
      <w:r w:rsidRPr="002E6079">
        <w:rPr>
          <w:b/>
        </w:rPr>
        <w:t>Date</w:t>
      </w:r>
      <w:proofErr w:type="gramStart"/>
      <w:r w:rsidR="00C24DC6" w:rsidRPr="002E6079">
        <w:t xml:space="preserve">: </w:t>
      </w:r>
      <w:r w:rsidR="00226837" w:rsidRPr="002E6079">
        <w:t xml:space="preserve"> </w:t>
      </w:r>
      <w:r w:rsidR="0076333F">
        <w:t>June</w:t>
      </w:r>
      <w:proofErr w:type="gramEnd"/>
      <w:r w:rsidR="0076333F">
        <w:t xml:space="preserve"> 13</w:t>
      </w:r>
      <w:r w:rsidR="0076333F" w:rsidRPr="0076333F">
        <w:rPr>
          <w:vertAlign w:val="superscript"/>
        </w:rPr>
        <w:t>th</w:t>
      </w:r>
      <w:r w:rsidR="0076333F">
        <w:t xml:space="preserve">, </w:t>
      </w:r>
      <w:proofErr w:type="gramStart"/>
      <w:r w:rsidR="0076333F">
        <w:t>2018</w:t>
      </w:r>
      <w:proofErr w:type="gramEnd"/>
      <w:r w:rsidRPr="002E6079">
        <w:tab/>
      </w:r>
      <w:r w:rsidRPr="002E6079">
        <w:tab/>
        <w:t xml:space="preserve">    </w:t>
      </w:r>
      <w:r w:rsidR="00644903" w:rsidRPr="002E6079">
        <w:t xml:space="preserve">   </w:t>
      </w:r>
      <w:r w:rsidR="0076333F">
        <w:tab/>
      </w:r>
      <w:r w:rsidRPr="002E6079">
        <w:t xml:space="preserve"> </w:t>
      </w:r>
      <w:r w:rsidR="0076333F">
        <w:t xml:space="preserve">       </w:t>
      </w:r>
      <w:r w:rsidRPr="002E6079">
        <w:rPr>
          <w:b/>
        </w:rPr>
        <w:t>Program</w:t>
      </w:r>
      <w:r w:rsidRPr="002E6079">
        <w:t xml:space="preserve">: </w:t>
      </w:r>
      <w:r w:rsidR="0076333F">
        <w:t>Genetics</w:t>
      </w:r>
      <w:r w:rsidRPr="002E6079">
        <w:t xml:space="preserve"> </w:t>
      </w:r>
    </w:p>
    <w:p w14:paraId="2E17D856" w14:textId="77777777" w:rsidR="008260BA" w:rsidRPr="002E6079" w:rsidRDefault="008260BA">
      <w:pPr>
        <w:pBdr>
          <w:top w:val="single" w:sz="2" w:space="0" w:color="auto" w:shadow="1"/>
          <w:left w:val="single" w:sz="2" w:space="4" w:color="auto" w:shadow="1"/>
          <w:bottom w:val="single" w:sz="2" w:space="0" w:color="auto" w:shadow="1"/>
          <w:right w:val="single" w:sz="2" w:space="4" w:color="auto" w:shadow="1"/>
        </w:pBdr>
      </w:pPr>
      <w:r w:rsidRPr="002E6079">
        <w:rPr>
          <w:b/>
        </w:rPr>
        <w:t>Time</w:t>
      </w:r>
      <w:r w:rsidR="00C24DC6" w:rsidRPr="002E6079">
        <w:t xml:space="preserve">: </w:t>
      </w:r>
      <w:r w:rsidR="0076333F">
        <w:t>12:00 PM</w:t>
      </w:r>
      <w:r w:rsidRPr="002E6079">
        <w:tab/>
      </w:r>
      <w:r w:rsidRPr="002E6079">
        <w:tab/>
      </w:r>
      <w:r w:rsidR="00D03977" w:rsidRPr="002E6079">
        <w:t xml:space="preserve">            </w:t>
      </w:r>
      <w:r w:rsidRPr="002E6079">
        <w:t xml:space="preserve">     </w:t>
      </w:r>
      <w:r w:rsidR="00644903" w:rsidRPr="002E6079">
        <w:t xml:space="preserve">  </w:t>
      </w:r>
      <w:r w:rsidRPr="002E6079">
        <w:t xml:space="preserve"> </w:t>
      </w:r>
      <w:r w:rsidRPr="002E6079">
        <w:rPr>
          <w:b/>
        </w:rPr>
        <w:t>Dissertation Advisor</w:t>
      </w:r>
      <w:r w:rsidRPr="002E6079">
        <w:t xml:space="preserve">: </w:t>
      </w:r>
      <w:r w:rsidR="0076333F">
        <w:t>Wei-Xing Zong, Ph.D.</w:t>
      </w:r>
      <w:r w:rsidRPr="002E6079">
        <w:t xml:space="preserve"> </w:t>
      </w:r>
    </w:p>
    <w:p w14:paraId="63D3359B" w14:textId="77777777" w:rsidR="008260BA" w:rsidRPr="002E6079" w:rsidRDefault="008260BA">
      <w:pPr>
        <w:pBdr>
          <w:top w:val="single" w:sz="2" w:space="0" w:color="auto" w:shadow="1"/>
          <w:left w:val="single" w:sz="2" w:space="4" w:color="auto" w:shadow="1"/>
          <w:bottom w:val="single" w:sz="2" w:space="0" w:color="auto" w:shadow="1"/>
          <w:right w:val="single" w:sz="2" w:space="4" w:color="auto" w:shadow="1"/>
        </w:pBdr>
      </w:pPr>
      <w:r w:rsidRPr="002E6079">
        <w:rPr>
          <w:b/>
        </w:rPr>
        <w:t>Place</w:t>
      </w:r>
      <w:r w:rsidRPr="002E6079">
        <w:t>:</w:t>
      </w:r>
      <w:r w:rsidR="00644903" w:rsidRPr="002E6079">
        <w:t xml:space="preserve"> </w:t>
      </w:r>
      <w:r w:rsidR="0076333F">
        <w:t>Life Science Building Room 038</w:t>
      </w:r>
    </w:p>
    <w:sectPr w:rsidR="008260BA" w:rsidRPr="002E6079" w:rsidSect="00644903">
      <w:pgSz w:w="12240" w:h="15840"/>
      <w:pgMar w:top="1800" w:right="1800" w:bottom="1440" w:left="1800" w:header="720" w:footer="720" w:gutter="0"/>
      <w:paperSrc w:first="2" w:other="2"/>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209"/>
    <w:rsid w:val="00021C67"/>
    <w:rsid w:val="0005546C"/>
    <w:rsid w:val="001415CF"/>
    <w:rsid w:val="00142403"/>
    <w:rsid w:val="00226837"/>
    <w:rsid w:val="00294E27"/>
    <w:rsid w:val="002D5BE2"/>
    <w:rsid w:val="002E6079"/>
    <w:rsid w:val="002F354C"/>
    <w:rsid w:val="003106BB"/>
    <w:rsid w:val="003746B7"/>
    <w:rsid w:val="0045116F"/>
    <w:rsid w:val="004B5209"/>
    <w:rsid w:val="005A1972"/>
    <w:rsid w:val="00644903"/>
    <w:rsid w:val="00743F66"/>
    <w:rsid w:val="0076333F"/>
    <w:rsid w:val="007D251C"/>
    <w:rsid w:val="007D4EFF"/>
    <w:rsid w:val="008260BA"/>
    <w:rsid w:val="00867C11"/>
    <w:rsid w:val="00874AB5"/>
    <w:rsid w:val="009A77BF"/>
    <w:rsid w:val="00A55CDC"/>
    <w:rsid w:val="00B30D80"/>
    <w:rsid w:val="00C24DC6"/>
    <w:rsid w:val="00C36E93"/>
    <w:rsid w:val="00D03977"/>
    <w:rsid w:val="00DE49FA"/>
    <w:rsid w:val="00E038A2"/>
    <w:rsid w:val="00E36EF0"/>
    <w:rsid w:val="00F65431"/>
    <w:rsid w:val="00FD091D"/>
    <w:rsid w:val="00FE7B34"/>
    <w:rsid w:val="00FF7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DB716C2"/>
  <w15:chartTrackingRefBased/>
  <w15:docId w15:val="{05641EF6-DD7D-43D1-BAD5-B3E3B612F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SimSu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widowControl w:val="0"/>
      <w:jc w:val="both"/>
    </w:pPr>
    <w:rPr>
      <w:kern w:val="2"/>
      <w:sz w:val="22"/>
      <w:szCs w:val="24"/>
      <w:lang w:eastAsia="zh-CN"/>
    </w:rPr>
  </w:style>
  <w:style w:type="paragraph" w:styleId="BodyTextIndent">
    <w:name w:val="Body Text Indent"/>
    <w:basedOn w:val="Normal"/>
    <w:pPr>
      <w:ind w:firstLine="360"/>
    </w:pPr>
    <w:rPr>
      <w:szCs w:val="24"/>
    </w:rPr>
  </w:style>
  <w:style w:type="character" w:styleId="CommentReference">
    <w:name w:val="annotation reference"/>
    <w:rsid w:val="002D5BE2"/>
    <w:rPr>
      <w:sz w:val="16"/>
      <w:szCs w:val="16"/>
    </w:rPr>
  </w:style>
  <w:style w:type="paragraph" w:styleId="CommentText">
    <w:name w:val="annotation text"/>
    <w:basedOn w:val="Normal"/>
    <w:link w:val="CommentTextChar"/>
    <w:rsid w:val="002D5BE2"/>
    <w:rPr>
      <w:sz w:val="20"/>
    </w:rPr>
  </w:style>
  <w:style w:type="character" w:customStyle="1" w:styleId="CommentTextChar">
    <w:name w:val="Comment Text Char"/>
    <w:link w:val="CommentText"/>
    <w:rsid w:val="002D5BE2"/>
    <w:rPr>
      <w:rFonts w:eastAsia="SimSun"/>
    </w:rPr>
  </w:style>
  <w:style w:type="paragraph" w:styleId="CommentSubject">
    <w:name w:val="annotation subject"/>
    <w:basedOn w:val="CommentText"/>
    <w:next w:val="CommentText"/>
    <w:link w:val="CommentSubjectChar"/>
    <w:rsid w:val="002D5BE2"/>
    <w:rPr>
      <w:b/>
      <w:bCs/>
    </w:rPr>
  </w:style>
  <w:style w:type="character" w:customStyle="1" w:styleId="CommentSubjectChar">
    <w:name w:val="Comment Subject Char"/>
    <w:link w:val="CommentSubject"/>
    <w:rsid w:val="002D5BE2"/>
    <w:rPr>
      <w:rFonts w:eastAsia="SimSun"/>
      <w:b/>
      <w:bCs/>
    </w:rPr>
  </w:style>
  <w:style w:type="paragraph" w:styleId="BalloonText">
    <w:name w:val="Balloon Text"/>
    <w:basedOn w:val="Normal"/>
    <w:link w:val="BalloonTextChar"/>
    <w:rsid w:val="002D5BE2"/>
    <w:rPr>
      <w:rFonts w:ascii="Segoe UI" w:hAnsi="Segoe UI" w:cs="Segoe UI"/>
      <w:sz w:val="18"/>
      <w:szCs w:val="18"/>
    </w:rPr>
  </w:style>
  <w:style w:type="character" w:customStyle="1" w:styleId="BalloonTextChar">
    <w:name w:val="Balloon Text Char"/>
    <w:link w:val="BalloonText"/>
    <w:rsid w:val="002D5BE2"/>
    <w:rPr>
      <w:rFonts w:ascii="Segoe UI" w:eastAsia="SimSun" w:hAnsi="Segoe UI" w:cs="Segoe UI"/>
      <w:sz w:val="18"/>
      <w:szCs w:val="18"/>
    </w:rPr>
  </w:style>
  <w:style w:type="paragraph" w:styleId="Revision">
    <w:name w:val="Revision"/>
    <w:hidden/>
    <w:uiPriority w:val="99"/>
    <w:semiHidden/>
    <w:rsid w:val="00FF7D31"/>
    <w:rPr>
      <w:rFonts w:eastAsia="SimSu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UNIVERSITY GRADUATE SCHOOL BULLETIN</vt:lpstr>
    </vt:vector>
  </TitlesOfParts>
  <Company>Stony Brook University</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GRADUATE SCHOOL BULLETIN</dc:title>
  <dc:subject/>
  <dc:creator>Yordanos G. Beyene</dc:creator>
  <cp:keywords/>
  <dc:description/>
  <cp:lastModifiedBy>Martha Furie</cp:lastModifiedBy>
  <cp:revision>2</cp:revision>
  <cp:lastPrinted>2003-11-26T16:56:00Z</cp:lastPrinted>
  <dcterms:created xsi:type="dcterms:W3CDTF">2026-04-17T17:46:00Z</dcterms:created>
  <dcterms:modified xsi:type="dcterms:W3CDTF">2026-04-17T17:46:00Z</dcterms:modified>
</cp:coreProperties>
</file>