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D6C3"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6D49F46B"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49329732"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The Graduate</w:t>
      </w:r>
      <w:proofErr w:type="gramEnd"/>
      <w:r>
        <w:rPr>
          <w:b/>
          <w:sz w:val="32"/>
          <w:szCs w:val="32"/>
        </w:rPr>
        <w:t xml:space="preserve"> School</w:t>
      </w:r>
    </w:p>
    <w:p w14:paraId="34DF296A"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70448F96"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114563A8"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2E0CE8BE" w14:textId="77777777" w:rsidR="001415CF" w:rsidRPr="002E6079" w:rsidRDefault="006E4157" w:rsidP="00FE7B34">
      <w:pPr>
        <w:pBdr>
          <w:top w:val="single" w:sz="2" w:space="0" w:color="auto" w:shadow="1"/>
          <w:left w:val="single" w:sz="2" w:space="4" w:color="auto" w:shadow="1"/>
          <w:bottom w:val="single" w:sz="2" w:space="0" w:color="auto" w:shadow="1"/>
          <w:right w:val="single" w:sz="2" w:space="4" w:color="auto" w:shadow="1"/>
        </w:pBdr>
        <w:spacing w:line="360" w:lineRule="auto"/>
        <w:jc w:val="center"/>
      </w:pPr>
      <w:r>
        <w:t>Structural insights into chromatin remodeling of H3 variants by the Snf2-like ATPase, DDM1</w:t>
      </w:r>
    </w:p>
    <w:p w14:paraId="40498A27"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6045DECC" w14:textId="77777777" w:rsidR="008260BA" w:rsidRPr="002E6079" w:rsidRDefault="006E4157"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Dexter Adams</w:t>
      </w:r>
    </w:p>
    <w:p w14:paraId="73810FC6"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rFonts w:ascii="Garamond" w:hAnsi="Garamond"/>
          <w:b/>
          <w:sz w:val="28"/>
          <w:szCs w:val="28"/>
        </w:rPr>
      </w:pPr>
    </w:p>
    <w:p w14:paraId="39470CB3" w14:textId="77777777" w:rsidR="006E4157" w:rsidRPr="006E4157" w:rsidRDefault="006E4157" w:rsidP="006E4157">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r w:rsidRPr="006E4157">
        <w:rPr>
          <w:szCs w:val="24"/>
        </w:rPr>
        <w:t xml:space="preserve">DDM1 (Decrease in DNA Methylation 1) is a Snf2-like chromatin remodeler that serves as a master regulator in the epigenetic silencing of heterochromatin in </w:t>
      </w:r>
      <w:r w:rsidRPr="006E4157">
        <w:rPr>
          <w:i/>
          <w:iCs/>
          <w:szCs w:val="24"/>
        </w:rPr>
        <w:t>Arabidopsis</w:t>
      </w:r>
      <w:r w:rsidRPr="006E4157">
        <w:rPr>
          <w:szCs w:val="24"/>
        </w:rPr>
        <w:t xml:space="preserve">. In </w:t>
      </w:r>
      <w:r w:rsidRPr="006E4157">
        <w:rPr>
          <w:i/>
          <w:iCs/>
          <w:szCs w:val="24"/>
        </w:rPr>
        <w:t>ddm1</w:t>
      </w:r>
      <w:r w:rsidRPr="006E4157">
        <w:rPr>
          <w:szCs w:val="24"/>
        </w:rPr>
        <w:t xml:space="preserve"> mutants, DNA methylation and H3K9me silencing marks are downregulated, leading to a </w:t>
      </w:r>
      <w:proofErr w:type="spellStart"/>
      <w:r w:rsidRPr="006E4157">
        <w:rPr>
          <w:szCs w:val="24"/>
        </w:rPr>
        <w:t>derepression</w:t>
      </w:r>
      <w:proofErr w:type="spellEnd"/>
      <w:r w:rsidRPr="006E4157">
        <w:rPr>
          <w:szCs w:val="24"/>
        </w:rPr>
        <w:t xml:space="preserve"> of transposable element transcription. DDM1 co-localizes with H3.1 and H3.3 during the cell cycle and we found DDM1 also promotes histone variant exchange, as </w:t>
      </w:r>
      <w:r w:rsidRPr="006E4157">
        <w:rPr>
          <w:i/>
          <w:iCs/>
          <w:szCs w:val="24"/>
        </w:rPr>
        <w:t>ddm1</w:t>
      </w:r>
      <w:r w:rsidRPr="006E4157">
        <w:rPr>
          <w:szCs w:val="24"/>
        </w:rPr>
        <w:t xml:space="preserve"> mutants show a loss of histone variant H3.1 (associated with heterochromatin) deposition, resulting in increased and ectopic histone H3.3 (associated with active transcription) deposition. </w:t>
      </w:r>
    </w:p>
    <w:p w14:paraId="75BF0CE9" w14:textId="77777777" w:rsidR="006E4157" w:rsidRPr="006E4157" w:rsidRDefault="006E4157" w:rsidP="006E4157">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p>
    <w:p w14:paraId="3D5F3756" w14:textId="77777777" w:rsidR="006E4157" w:rsidRPr="006E4157" w:rsidRDefault="006E4157" w:rsidP="006E4157">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r>
        <w:rPr>
          <w:szCs w:val="24"/>
        </w:rPr>
        <w:t>The</w:t>
      </w:r>
      <w:r w:rsidRPr="006E4157">
        <w:rPr>
          <w:szCs w:val="24"/>
        </w:rPr>
        <w:t xml:space="preserve"> single-particle cryo-EM structure of DDM1 </w:t>
      </w:r>
      <w:r>
        <w:rPr>
          <w:szCs w:val="24"/>
        </w:rPr>
        <w:t xml:space="preserve">was determined </w:t>
      </w:r>
      <w:r w:rsidRPr="006E4157">
        <w:rPr>
          <w:szCs w:val="24"/>
        </w:rPr>
        <w:t xml:space="preserve">with a variant nucleosome at 3.2 Å resolution, revealing engagement with histone H3.3 and an unmodified H4 tail. Both the DEXD ATPase and </w:t>
      </w:r>
      <w:proofErr w:type="spellStart"/>
      <w:r w:rsidRPr="006E4157">
        <w:rPr>
          <w:szCs w:val="24"/>
        </w:rPr>
        <w:t>HELICc</w:t>
      </w:r>
      <w:proofErr w:type="spellEnd"/>
      <w:r w:rsidRPr="006E4157">
        <w:rPr>
          <w:szCs w:val="24"/>
        </w:rPr>
        <w:t xml:space="preserve"> domains of DDM1 engage with the nucleosome at the SHL2 position, making contacts with both DNA gyres of the nucleosome, while also making specific contacts with histones H3.3 and H4. This structural information reveals key features of DDM1 that are essential for enzymatic activity (such as a disulfide bond within the </w:t>
      </w:r>
      <w:proofErr w:type="spellStart"/>
      <w:r w:rsidRPr="006E4157">
        <w:rPr>
          <w:szCs w:val="24"/>
        </w:rPr>
        <w:t>HELICc</w:t>
      </w:r>
      <w:proofErr w:type="spellEnd"/>
      <w:r w:rsidRPr="006E4157">
        <w:rPr>
          <w:szCs w:val="24"/>
        </w:rPr>
        <w:t xml:space="preserve"> domain) and specific nucleosome substrate recognition, both necessary for its role in maintaining heterochromatin.</w:t>
      </w:r>
    </w:p>
    <w:p w14:paraId="08DABF47" w14:textId="77777777" w:rsidR="007D4EFF" w:rsidRDefault="007D4EFF">
      <w:pPr>
        <w:pBdr>
          <w:top w:val="single" w:sz="2" w:space="0" w:color="auto" w:shadow="1"/>
          <w:left w:val="single" w:sz="2" w:space="4" w:color="auto" w:shadow="1"/>
          <w:bottom w:val="single" w:sz="2" w:space="0" w:color="auto" w:shadow="1"/>
          <w:right w:val="single" w:sz="2" w:space="4" w:color="auto" w:shadow="1"/>
        </w:pBdr>
        <w:ind w:firstLine="360"/>
        <w:jc w:val="both"/>
        <w:rPr>
          <w:rFonts w:ascii="Garamond" w:hAnsi="Garamond"/>
          <w:szCs w:val="24"/>
        </w:rPr>
      </w:pPr>
    </w:p>
    <w:p w14:paraId="4AE8C2E3" w14:textId="77777777" w:rsidR="007D4EFF" w:rsidRDefault="007D4EFF">
      <w:pPr>
        <w:pBdr>
          <w:top w:val="single" w:sz="2" w:space="0" w:color="auto" w:shadow="1"/>
          <w:left w:val="single" w:sz="2" w:space="4" w:color="auto" w:shadow="1"/>
          <w:bottom w:val="single" w:sz="2" w:space="0" w:color="auto" w:shadow="1"/>
          <w:right w:val="single" w:sz="2" w:space="4" w:color="auto" w:shadow="1"/>
        </w:pBdr>
        <w:ind w:firstLine="360"/>
        <w:jc w:val="both"/>
        <w:rPr>
          <w:rFonts w:ascii="Garamond" w:hAnsi="Garamond"/>
          <w:szCs w:val="24"/>
        </w:rPr>
      </w:pPr>
    </w:p>
    <w:p w14:paraId="5E894BDD" w14:textId="77777777" w:rsidR="004523A0" w:rsidRDefault="004523A0" w:rsidP="006E4157">
      <w:pPr>
        <w:pBdr>
          <w:top w:val="single" w:sz="2" w:space="0" w:color="auto" w:shadow="1"/>
          <w:left w:val="single" w:sz="2" w:space="4" w:color="auto" w:shadow="1"/>
          <w:bottom w:val="single" w:sz="2" w:space="0" w:color="auto" w:shadow="1"/>
          <w:right w:val="single" w:sz="2" w:space="4" w:color="auto" w:shadow="1"/>
        </w:pBdr>
        <w:tabs>
          <w:tab w:val="left" w:pos="4320"/>
        </w:tabs>
        <w:jc w:val="both"/>
        <w:rPr>
          <w:rFonts w:ascii="Garamond" w:hAnsi="Garamond"/>
          <w:szCs w:val="24"/>
        </w:rPr>
      </w:pPr>
    </w:p>
    <w:p w14:paraId="54304F7A" w14:textId="77777777" w:rsidR="006E4157" w:rsidRDefault="006E4157"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rFonts w:ascii="Garamond" w:hAnsi="Garamond"/>
          <w:szCs w:val="24"/>
        </w:rPr>
      </w:pPr>
    </w:p>
    <w:p w14:paraId="5C65CE44" w14:textId="77777777" w:rsidR="007D4EFF"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rFonts w:ascii="Garamond" w:hAnsi="Garamond"/>
          <w:szCs w:val="24"/>
        </w:rPr>
      </w:pPr>
    </w:p>
    <w:p w14:paraId="48A6E377" w14:textId="77777777" w:rsidR="007D4EFF"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rFonts w:ascii="Garamond" w:hAnsi="Garamond"/>
          <w:szCs w:val="24"/>
        </w:rPr>
      </w:pPr>
    </w:p>
    <w:p w14:paraId="45712120" w14:textId="77777777" w:rsidR="007D4EFF" w:rsidRPr="002E6079"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szCs w:val="24"/>
        </w:rPr>
      </w:pPr>
    </w:p>
    <w:p w14:paraId="20109AC0"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proofErr w:type="gramStart"/>
      <w:r w:rsidR="00C24DC6" w:rsidRPr="002E6079">
        <w:t xml:space="preserve">: </w:t>
      </w:r>
      <w:r w:rsidR="00226837" w:rsidRPr="002E6079">
        <w:t xml:space="preserve"> </w:t>
      </w:r>
      <w:r w:rsidR="006E4157">
        <w:t>June</w:t>
      </w:r>
      <w:proofErr w:type="gramEnd"/>
      <w:r w:rsidR="007D4EFF" w:rsidRPr="002E6079">
        <w:t xml:space="preserve"> </w:t>
      </w:r>
      <w:r w:rsidR="006E4157">
        <w:t>4</w:t>
      </w:r>
      <w:r w:rsidR="007D4EFF" w:rsidRPr="002E6079">
        <w:t>,</w:t>
      </w:r>
      <w:r w:rsidR="00F65431">
        <w:t xml:space="preserve"> </w:t>
      </w:r>
      <w:proofErr w:type="gramStart"/>
      <w:r w:rsidR="006E4157">
        <w:t>2024</w:t>
      </w:r>
      <w:proofErr w:type="gramEnd"/>
      <w:r w:rsidRPr="002E6079">
        <w:tab/>
      </w:r>
      <w:r w:rsidRPr="002E6079">
        <w:tab/>
        <w:t xml:space="preserve">    </w:t>
      </w:r>
      <w:r w:rsidR="00644903" w:rsidRPr="002E6079">
        <w:t xml:space="preserve"> </w:t>
      </w:r>
      <w:r w:rsidR="006E4157">
        <w:t xml:space="preserve">            </w:t>
      </w:r>
      <w:r w:rsidR="00644903" w:rsidRPr="002E6079">
        <w:t xml:space="preserve">  </w:t>
      </w:r>
      <w:r w:rsidRPr="002E6079">
        <w:t xml:space="preserve"> </w:t>
      </w:r>
      <w:r w:rsidRPr="002E6079">
        <w:rPr>
          <w:b/>
        </w:rPr>
        <w:t>Program</w:t>
      </w:r>
      <w:r w:rsidRPr="002E6079">
        <w:t xml:space="preserve">: </w:t>
      </w:r>
      <w:r w:rsidR="006E4157">
        <w:t>Genetics</w:t>
      </w:r>
      <w:r w:rsidRPr="002E6079">
        <w:t xml:space="preserve"> </w:t>
      </w:r>
    </w:p>
    <w:p w14:paraId="380D6E39"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6E4157">
        <w:t>2</w:t>
      </w:r>
      <w:r w:rsidR="004523A0">
        <w:t xml:space="preserve">:00 </w:t>
      </w:r>
      <w:r w:rsidR="006E4157">
        <w:t>pm</w:t>
      </w:r>
      <w:r w:rsidRPr="002E6079">
        <w:tab/>
      </w:r>
      <w:r w:rsidRPr="002E6079">
        <w:tab/>
      </w:r>
      <w:r w:rsidRPr="002E6079">
        <w:tab/>
        <w:t xml:space="preserve">     </w:t>
      </w:r>
      <w:r w:rsidR="00644903" w:rsidRPr="002E6079">
        <w:t xml:space="preserve">  </w:t>
      </w:r>
      <w:r w:rsidRPr="002E6079">
        <w:t xml:space="preserve"> </w:t>
      </w:r>
      <w:r w:rsidRPr="002E6079">
        <w:rPr>
          <w:b/>
        </w:rPr>
        <w:t>Dissertation Advisor</w:t>
      </w:r>
      <w:r w:rsidRPr="002E6079">
        <w:t xml:space="preserve">: </w:t>
      </w:r>
      <w:r w:rsidR="006E4157">
        <w:t>Leemor Joshua-Tor</w:t>
      </w:r>
      <w:r w:rsidRPr="002E6079">
        <w:t xml:space="preserve"> </w:t>
      </w:r>
    </w:p>
    <w:p w14:paraId="764A5C91" w14:textId="77777777" w:rsidR="00C90703"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6E4157">
        <w:t xml:space="preserve">Cold Spring Harbor Laboratory, </w:t>
      </w:r>
      <w:r w:rsidR="004523A0">
        <w:t xml:space="preserve">Hawkins Building, </w:t>
      </w:r>
      <w:r w:rsidR="006E4157">
        <w:t>Wendt Conference Room</w:t>
      </w:r>
    </w:p>
    <w:p w14:paraId="1DCE1B0B" w14:textId="77777777" w:rsidR="004523A0" w:rsidRPr="002E6079" w:rsidRDefault="004523A0" w:rsidP="004523A0">
      <w:pPr>
        <w:pBdr>
          <w:top w:val="single" w:sz="2" w:space="0" w:color="auto" w:shadow="1"/>
          <w:left w:val="single" w:sz="2" w:space="4" w:color="auto" w:shadow="1"/>
          <w:bottom w:val="single" w:sz="2" w:space="0" w:color="auto" w:shadow="1"/>
          <w:right w:val="single" w:sz="2" w:space="4" w:color="auto" w:shadow="1"/>
        </w:pBdr>
      </w:pPr>
      <w:r w:rsidRPr="007F14E2">
        <w:rPr>
          <w:i/>
          <w:iCs/>
          <w:color w:val="000000"/>
          <w:szCs w:val="24"/>
        </w:rPr>
        <w:t>To attend virtually, contact the Program Director at</w:t>
      </w:r>
      <w:r w:rsidRPr="007243E5">
        <w:rPr>
          <w:rStyle w:val="apple-converted-space"/>
          <w:i/>
          <w:iCs/>
          <w:color w:val="000000"/>
          <w:szCs w:val="24"/>
        </w:rPr>
        <w:t> </w:t>
      </w:r>
      <w:hyperlink r:id="rId4" w:tooltip="mailto:martha.furie@stonybrook.edu" w:history="1">
        <w:r w:rsidRPr="009559E1">
          <w:rPr>
            <w:rStyle w:val="Hyperlink"/>
            <w:color w:val="auto"/>
            <w:szCs w:val="24"/>
            <w:u w:val="none"/>
          </w:rPr>
          <w:t>martha.</w:t>
        </w:r>
        <w:r w:rsidRPr="009559E1">
          <w:rPr>
            <w:rStyle w:val="Hyperlink"/>
            <w:color w:val="auto"/>
            <w:szCs w:val="24"/>
            <w:u w:val="none"/>
          </w:rPr>
          <w:t>f</w:t>
        </w:r>
        <w:r w:rsidRPr="009559E1">
          <w:rPr>
            <w:rStyle w:val="Hyperlink"/>
            <w:color w:val="auto"/>
            <w:szCs w:val="24"/>
            <w:u w:val="none"/>
          </w:rPr>
          <w:t>urie@stonybrook.edu</w:t>
        </w:r>
      </w:hyperlink>
      <w:r>
        <w:rPr>
          <w:szCs w:val="24"/>
        </w:rPr>
        <w:t>.</w:t>
      </w:r>
    </w:p>
    <w:sectPr w:rsidR="004523A0" w:rsidRPr="002E6079" w:rsidSect="00491516">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226837"/>
    <w:rsid w:val="00294E27"/>
    <w:rsid w:val="002E6079"/>
    <w:rsid w:val="004523A0"/>
    <w:rsid w:val="00491516"/>
    <w:rsid w:val="004B5209"/>
    <w:rsid w:val="00644903"/>
    <w:rsid w:val="006E4157"/>
    <w:rsid w:val="007D4EFF"/>
    <w:rsid w:val="00807340"/>
    <w:rsid w:val="008260BA"/>
    <w:rsid w:val="00831898"/>
    <w:rsid w:val="00874AB5"/>
    <w:rsid w:val="009D4C0C"/>
    <w:rsid w:val="00A819D7"/>
    <w:rsid w:val="00B26849"/>
    <w:rsid w:val="00C24DC6"/>
    <w:rsid w:val="00C90703"/>
    <w:rsid w:val="00D03977"/>
    <w:rsid w:val="00E36EF0"/>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DF74B"/>
  <w15:chartTrackingRefBased/>
  <w15:docId w15:val="{031ECFB3-E97C-4349-92FC-5F4C676A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 w:type="character" w:customStyle="1" w:styleId="apple-converted-space">
    <w:name w:val="apple-converted-space"/>
    <w:basedOn w:val="DefaultParagraphFont"/>
    <w:rsid w:val="0045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65940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tha.furie@stonybrook.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1847</CharactersWithSpaces>
  <SharedDoc>false</SharedDoc>
  <HLinks>
    <vt:vector size="6" baseType="variant">
      <vt:variant>
        <vt:i4>721021</vt:i4>
      </vt:variant>
      <vt:variant>
        <vt:i4>0</vt:i4>
      </vt:variant>
      <vt:variant>
        <vt:i4>0</vt:i4>
      </vt:variant>
      <vt:variant>
        <vt:i4>5</vt:i4>
      </vt:variant>
      <vt:variant>
        <vt:lpwstr>mailto:martha.furie@stonybrook.edu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2026-04-17T18:31:00Z</dcterms:created>
  <dcterms:modified xsi:type="dcterms:W3CDTF">2026-04-17T18:31:00Z</dcterms:modified>
</cp:coreProperties>
</file>